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Public Health Act 2016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Health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Health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Health Act 2016</w:t>
            </w:r>
          </w:p>
        </w:tc>
        <w:tc>
          <w:p>
            <w:pPr>
              <w:pStyle w:val="Table01Row"/>
            </w:pPr>
            <w:r>
              <w:t>2016/018</w:t>
            </w:r>
          </w:p>
        </w:tc>
        <w:tc>
          <w:p>
            <w:pPr>
              <w:pStyle w:val="Table01Row"/>
            </w:pPr>
            <w:r>
              <w:t>25 Jul 2016</w:t>
            </w:r>
          </w:p>
        </w:tc>
        <w:tc>
          <w:p>
            <w:pPr>
              <w:pStyle w:val="Table01Row"/>
            </w:pPr>
            <w:r>
              <w:rPr/>
              <w:t xml:space="preserve">Pt. 1 (other than s. 3‑5): 25 Jul 2016 (see s. 2(a));</w:t>
            </w:r>
          </w:p>
          <w:p>
            <w:pPr>
              <w:pStyle w:val="Table01Row"/>
            </w:pPr>
            <w:r>
              <w:rPr/>
              <w:t xml:space="preserve">s. 3‑5: 26 Jul 2016 (see s. 2(b)(i));</w:t>
            </w:r>
          </w:p>
          <w:p>
            <w:pPr>
              <w:pStyle w:val="Table01Row"/>
            </w:pPr>
            <w:r>
              <w:rPr/>
              <w:t xml:space="preserve">Pt. 17: 26 Jul 2016 (see s. 2(b)(ii));</w:t>
            </w:r>
          </w:p>
          <w:p>
            <w:pPr>
              <w:pStyle w:val="Table01Row"/>
            </w:pPr>
            <w:r>
              <w:rPr/>
              <w:t xml:space="preserve">Pt. 19 (other than Div. 1, 3 &amp; 4): 26 Jul 2016 (see s. 2(b)(iii));</w:t>
            </w:r>
          </w:p>
          <w:p>
            <w:pPr>
              <w:pStyle w:val="Table01Row"/>
            </w:pPr>
            <w:r>
              <w:rPr/>
              <w:t xml:space="preserve">Pt. 20 (s. 310 &amp; 322): 26 Jul 2016 (see s. 2(b)(iv));</w:t>
            </w:r>
          </w:p>
          <w:p>
            <w:pPr>
              <w:pStyle w:val="Table01Row"/>
            </w:pPr>
            <w:r>
              <w:rPr/>
              <w:t xml:space="preserve">Pt. 2 Div. 1 (except s. 7 &amp; 8), Div. 2‑4, Pt. 18 Div. 1 &amp; 2 &amp; Pt. 20 (s. 307‑309 &amp; 311‑312): 24 Jan 2017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10 Jan 2017 p. 163); </w:t>
            </w:r>
          </w:p>
          <w:p>
            <w:pPr>
              <w:pStyle w:val="Table01Row"/>
            </w:pPr>
            <w:r>
              <w:rPr/>
              <w:t xml:space="preserve">Pt. 2 Div 5, Pt. 3, 4, 9, 11 to 13, 15 &amp; 16, Pt. 19 Div. 3 &amp; 4 and Pt. 20 (s. 321): 20 Sep 2017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19 Sep 2017 p.4879);</w:t>
            </w:r>
          </w:p>
          <w:p>
            <w:pPr>
              <w:pStyle w:val="Table01Row"/>
            </w:pPr>
            <w:r>
              <w:rPr/>
              <w:t xml:space="preserve">Pt. 5, 8 &amp; 14, Pt. 18 Div. 3 &amp; Pt. 19 Div. 1 (but only s. 294): 4 Jun 2024 (see s. 2(c) and SL 2024/65 cl. 2);</w:t>
            </w:r>
          </w:p>
          <w:p>
            <w:pPr>
              <w:pStyle w:val="Table01Row"/>
            </w:pPr>
            <w:r>
              <w:rPr/>
              <w:t xml:space="preserve">s. 7 &amp; 8, Pt. 6, 7 &amp; 10, s. 295 &amp; 296 &amp; Pt. 20 (s. 313‑320): to be proclaimed (see s. 2(c))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Health (Consequential Provisions) Act 2016</w:t>
            </w:r>
            <w:r>
              <w:t xml:space="preserve"> </w:t>
              <w:t>Pt. 5 Div. 18</w:t>
            </w:r>
          </w:p>
        </w:tc>
        <w:tc>
          <w:p>
            <w:pPr>
              <w:pStyle w:val="Table01Row"/>
            </w:pPr>
            <w:r>
              <w:t>2016/019</w:t>
            </w:r>
          </w:p>
        </w:tc>
        <w:tc>
          <w:p>
            <w:pPr>
              <w:pStyle w:val="Table01Row"/>
            </w:pPr>
            <w:r>
              <w:t>25 Jul 2016</w:t>
            </w:r>
          </w:p>
        </w:tc>
        <w:tc>
          <w:p>
            <w:pPr>
              <w:pStyle w:val="Table01Row"/>
            </w:pPr>
            <w:r>
              <w:rPr/>
              <w:t xml:space="preserve">20 Sep 2017 (see s. 2(1)(c) and </w:t>
            </w:r>
            <w:r>
              <w:rPr>
                <w:i/>
              </w:rPr>
              <w:t xml:space="preserve">Gazette</w:t>
            </w:r>
            <w:r>
              <w:rPr/>
              <w:t xml:space="preserve"> 19 Sep 2017 p. 4880)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Legislation Amendment Act 2016</w:t>
            </w:r>
            <w:r>
              <w:t xml:space="preserve"> </w:t>
              <w:t>Pt. 3 Div. 28</w:t>
            </w:r>
          </w:p>
        </w:tc>
        <w:tc>
          <w:p>
            <w:pPr>
              <w:pStyle w:val="Table01Row"/>
            </w:pPr>
            <w:r>
              <w:t>2016/026</w:t>
            </w:r>
          </w:p>
        </w:tc>
        <w:tc>
          <w:p>
            <w:pPr>
              <w:pStyle w:val="Table01Row"/>
            </w:pPr>
            <w:r>
              <w:t>21 Sep 2016</w:t>
            </w:r>
          </w:p>
        </w:tc>
        <w:tc>
          <w:p>
            <w:pPr>
              <w:pStyle w:val="Table01Row"/>
            </w:pPr>
            <w:r>
              <w:rPr/>
              <w:t xml:space="preserve">21 Jan 2017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20 Jan 2017 p. 648)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Practitioner Regulation National Law (WA) Amendment Act 2018</w:t>
            </w:r>
            <w:r>
              <w:t xml:space="preserve"> </w:t>
              <w:t>s. 117</w:t>
            </w:r>
          </w:p>
        </w:tc>
        <w:tc>
          <w:p>
            <w:pPr>
              <w:pStyle w:val="Table01Row"/>
            </w:pPr>
            <w:r>
              <w:t>2018/004</w:t>
            </w:r>
          </w:p>
        </w:tc>
        <w:tc>
          <w:p>
            <w:pPr>
              <w:pStyle w:val="Table01Row"/>
            </w:pPr>
            <w:r>
              <w:t>19 Apr 2018</w:t>
            </w:r>
          </w:p>
        </w:tc>
        <w:tc>
          <w:p>
            <w:pPr>
              <w:pStyle w:val="Table01Row"/>
            </w:pPr>
            <w:r>
              <w:rPr/>
              <w:t xml:space="preserve">1 Dec 2018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13 Nov 2018 p. 4427‑8)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Health Amendment (Immunisation Requirements for Enrolment) Act 2019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2019/014</w:t>
            </w:r>
          </w:p>
        </w:tc>
        <w:tc>
          <w:p>
            <w:pPr>
              <w:pStyle w:val="Table01Row"/>
            </w:pPr>
            <w:r>
              <w:t>5 Jul 2019</w:t>
            </w:r>
          </w:p>
        </w:tc>
        <w:tc>
          <w:p>
            <w:pPr>
              <w:pStyle w:val="Table01Row"/>
            </w:pPr>
            <w:r>
              <w:rPr/>
              <w:t xml:space="preserve">s. 3: 5 Jul 2019 (see s. 2 (a));</w:t>
            </w:r>
          </w:p>
          <w:p>
            <w:pPr>
              <w:pStyle w:val="Table01Row"/>
            </w:pPr>
            <w:r>
              <w:rPr/>
              <w:t xml:space="preserve">s. 4‑12: 22 Jul 2019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19 Jul 2019 p. 2841)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Health Amendment (COVID‑19 Response) Act 2020</w:t>
            </w:r>
          </w:p>
        </w:tc>
        <w:tc>
          <w:p>
            <w:pPr>
              <w:pStyle w:val="Table01Row"/>
            </w:pPr>
            <w:r>
              <w:t>2020/033</w:t>
            </w:r>
          </w:p>
        </w:tc>
        <w:tc>
          <w:p>
            <w:pPr>
              <w:pStyle w:val="Table01Row"/>
            </w:pPr>
            <w:r>
              <w:t>21 Aug 2020</w:t>
            </w:r>
          </w:p>
        </w:tc>
        <w:tc>
          <w:p>
            <w:pPr>
              <w:pStyle w:val="Table01Row"/>
            </w:pPr>
            <w:r>
              <w:rPr/>
              <w:t xml:space="preserve">s. 1 &amp; 2: 21 Aug 2020 (see s. 2(1)(a));</w:t>
            </w:r>
          </w:p>
          <w:p>
            <w:pPr>
              <w:pStyle w:val="Table01Row"/>
            </w:pPr>
            <w:r>
              <w:rPr/>
              <w:t xml:space="preserve">Act other than s. 1 &amp; 2: 12 Sep 2020 (see s. 2(1)(b) and SL 2020/153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Health Amendment (Safe Access Zones) Act 2021</w:t>
            </w:r>
          </w:p>
        </w:tc>
        <w:tc>
          <w:p>
            <w:pPr>
              <w:pStyle w:val="Table01Row"/>
            </w:pPr>
            <w:r>
              <w:t>2021/009</w:t>
            </w:r>
          </w:p>
        </w:tc>
        <w:tc>
          <w:p>
            <w:pPr>
              <w:pStyle w:val="Table01Row"/>
            </w:pPr>
            <w:r>
              <w:t>17 Aug 2021</w:t>
            </w:r>
          </w:p>
        </w:tc>
        <w:tc>
          <w:p>
            <w:pPr>
              <w:pStyle w:val="Table01Row"/>
            </w:pPr>
            <w:r>
              <w:rPr/>
              <w:t xml:space="preserve">s. 1 &amp; 2: 17 Aug 2021 (see s. 2(a));</w:t>
            </w:r>
          </w:p>
          <w:p>
            <w:pPr>
              <w:pStyle w:val="Table01Row"/>
            </w:pPr>
            <w:r>
              <w:rPr/>
              <w:t xml:space="preserve">Act other than s. 1 &amp; 2: 18 Aug 2021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Emergency Management Amendment (Temporary COVID‑19 Provisions) Act 2022</w:t>
            </w:r>
            <w:r>
              <w:t xml:space="preserve"> </w:t>
              <w:t>Pt. 2 Div. 2 Subdiv. 5 &amp; Pt. 3 Div. 3</w:t>
            </w:r>
          </w:p>
        </w:tc>
        <w:tc>
          <w:p>
            <w:pPr>
              <w:pStyle w:val="Table01Row"/>
            </w:pPr>
            <w:r>
              <w:t>2022/033</w:t>
            </w:r>
          </w:p>
        </w:tc>
        <w:tc>
          <w:p>
            <w:pPr>
              <w:pStyle w:val="Table01Row"/>
            </w:pPr>
            <w:r>
              <w:t>21 Oct 2022</w:t>
            </w:r>
          </w:p>
        </w:tc>
        <w:tc>
          <w:p>
            <w:pPr>
              <w:pStyle w:val="Table01Row"/>
            </w:pPr>
            <w:r>
              <w:rPr/>
              <w:t xml:space="preserve">Pt. 2 Div. 2 Subdiv. 5: 3 Nov 2022 (see s. 2(b) and SL 2022/175 cl. 2);</w:t>
            </w:r>
          </w:p>
          <w:p>
            <w:pPr>
              <w:pStyle w:val="Table01Row"/>
            </w:pPr>
            <w:r>
              <w:rPr/>
              <w:t xml:space="preserve">Pt. 3 Div. 3: 3 Nov 2024 (see s. 2(c) and SL 2022/175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</w:t>
              <w:t>Pt. 3 Div. 51</w:t>
            </w:r>
          </w:p>
        </w:tc>
        <w:tc>
          <w:p>
            <w:pPr>
              <w:pStyle w:val="Table01Row"/>
            </w:pPr>
            <w:r>
              <w:t>2023/009</w:t>
            </w:r>
          </w:p>
        </w:tc>
        <w:tc>
          <w:p>
            <w:pPr>
              <w:pStyle w:val="Table01Row"/>
            </w:pPr>
            <w:r>
              <w:t>4 Apr 2023</w:t>
            </w:r>
          </w:p>
        </w:tc>
        <w:tc>
          <w:p>
            <w:pPr>
              <w:pStyle w:val="Table01Row"/>
            </w:pPr>
            <w:r>
              <w:rPr/>
              <w:t xml:space="preserve">5 Apr 2023 (see s. 2(j))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Abortion Legislation Reform Act 2023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2023/020</w:t>
            </w:r>
          </w:p>
        </w:tc>
        <w:tc>
          <w:p>
            <w:pPr>
              <w:pStyle w:val="Table01Row"/>
            </w:pPr>
            <w:r>
              <w:t>27 Sep 2023</w:t>
            </w:r>
          </w:p>
        </w:tc>
        <w:tc>
          <w:p>
            <w:pPr>
              <w:pStyle w:val="Table01Row"/>
            </w:pPr>
            <w:r>
              <w:rPr/>
              <w:t xml:space="preserve">27 Mar 2024 (see s. 2(b) and SL 2024/21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Education and Care Services National Law Application Act 2026</w:t>
            </w:r>
            <w:r>
              <w:rPr>
                <w:color w:val="FF0000"/>
              </w:rPr>
              <w:t xml:space="preserve"> </w:t>
              <w:t>s.102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2026/002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31 Mar 2026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1 May 2026 (see s. 2(1)(d) and SL 2026/50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Public Health Act 2016</vt:lpwstr>
  </property>
  <property pid="3" name="IDAct" fmtid="{D5CDD505-2E9C-101B-9397-08002B2CF9AE}">
    <vt:lpwstr>147114</vt:lpwstr>
  </property>
  <property pid="4" name="ChangedDate" fmtid="{D5CDD505-2E9C-101B-9397-08002B2CF9AE}">
    <vt:lpwstr>20251231170429</vt:lpwstr>
  </property>
</Properties>
</file>