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H</w:t>
      </w:r>
    </w:p>
    <w:p>
      <w:pPr>
        <w:pStyle w:val="IActName"/>
      </w:pPr>
      <w:r>
        <w:t>Heritage Act 2018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Heritage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Planning, Lands and Heritage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Heritage Act 2018</w:t>
            </w:r>
          </w:p>
        </w:tc>
        <w:tc>
          <w:p>
            <w:pPr>
              <w:pStyle w:val="Table01Row"/>
            </w:pPr>
            <w:r>
              <w:t>2018/022</w:t>
            </w:r>
          </w:p>
        </w:tc>
        <w:tc>
          <w:p>
            <w:pPr>
              <w:pStyle w:val="Table01Row"/>
            </w:pPr>
            <w:r>
              <w:t>18 Sep 2018</w:t>
            </w:r>
          </w:p>
        </w:tc>
        <w:tc>
          <w:p>
            <w:pPr>
              <w:pStyle w:val="Table01Row"/>
            </w:pPr>
            <w:r>
              <w:rPr/>
              <w:t xml:space="preserve">Pt. 1 (other than s. 3‑10): 18 Sep 2018 (see s. 2(a));</w:t>
            </w:r>
          </w:p>
          <w:p>
            <w:pPr>
              <w:pStyle w:val="Table01Row"/>
            </w:pPr>
            <w:r>
              <w:rPr/>
              <w:t xml:space="preserve">Act other than heading to Pt. 1 &amp; s. 1 &amp; 2: 1 Jul 2019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2019 p. 2375)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Swan Valley Planning Act 2020</w:t>
            </w:r>
            <w:r>
              <w:t xml:space="preserve"> </w:t>
              <w:t>Pt. 10 Div. 4</w:t>
            </w:r>
          </w:p>
        </w:tc>
        <w:tc>
          <w:p>
            <w:pPr>
              <w:pStyle w:val="Table01Row"/>
            </w:pPr>
            <w:r>
              <w:t>2020/045</w:t>
            </w:r>
          </w:p>
        </w:tc>
        <w:tc>
          <w:p>
            <w:pPr>
              <w:pStyle w:val="Table01Row"/>
            </w:pPr>
            <w:r>
              <w:t>9 Dec 2020</w:t>
            </w:r>
          </w:p>
        </w:tc>
        <w:tc>
          <w:p>
            <w:pPr>
              <w:pStyle w:val="Table01Row"/>
            </w:pPr>
            <w:r>
              <w:rPr/>
              <w:t xml:space="preserve">1 Aug 2021 (see s. 2(1)(e) and SL 2021/124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Aboriginal Cultural Heritage Act 2021</w:t>
            </w:r>
            <w:r>
              <w:t xml:space="preserve"> </w:t>
              <w:t>s. 349</w:t>
            </w:r>
          </w:p>
        </w:tc>
        <w:tc>
          <w:p>
            <w:pPr>
              <w:pStyle w:val="Table01Row"/>
            </w:pPr>
            <w:r>
              <w:t>2021/027</w:t>
            </w:r>
          </w:p>
        </w:tc>
        <w:tc>
          <w:p>
            <w:pPr>
              <w:pStyle w:val="Table01Row"/>
            </w:pPr>
            <w:r>
              <w:t>22 Dec 2021</w:t>
            </w:r>
          </w:p>
        </w:tc>
        <w:tc>
          <w:p>
            <w:pPr>
              <w:pStyle w:val="Table01Row"/>
            </w:pPr>
            <w:r>
              <w:rPr/>
              <w:t xml:space="preserve">1 Jul 2023 (see s. 2(e))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33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Aboriginal Heritage Legislation Amendment and Repeal Act 2023</w:t>
            </w:r>
            <w:r>
              <w:t xml:space="preserve"> </w:t>
              <w:t>s. 29</w:t>
            </w:r>
          </w:p>
        </w:tc>
        <w:tc>
          <w:p>
            <w:pPr>
              <w:pStyle w:val="Table01Row"/>
            </w:pPr>
            <w:r>
              <w:t>2023/023</w:t>
            </w:r>
          </w:p>
        </w:tc>
        <w:tc>
          <w:p>
            <w:pPr>
              <w:pStyle w:val="Table01Row"/>
            </w:pPr>
            <w:r>
              <w:t>24 Oct 2023</w:t>
            </w:r>
          </w:p>
        </w:tc>
        <w:tc>
          <w:p>
            <w:pPr>
              <w:pStyle w:val="Table01Row"/>
            </w:pPr>
            <w:r>
              <w:rPr/>
              <w:t xml:space="preserve">15 Nov 2023 (see s. 2(d) and SL 2023/161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Petroleum Legislation Amendment Act 2024</w:t>
            </w:r>
            <w:r>
              <w:rPr>
                <w:color w:val="FF0000"/>
              </w:rPr>
              <w:t xml:space="preserve"> </w:t>
              <w:t>s. 433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2024/017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14 May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28 May 2026 (see s. 2(b) and SL 2026/70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Heritage Act 2018</vt:lpwstr>
  </property>
  <property pid="3" name="IDAct" fmtid="{D5CDD505-2E9C-101B-9397-08002B2CF9AE}">
    <vt:lpwstr>147195</vt:lpwstr>
  </property>
  <property pid="4" name="ChangedDate" fmtid="{D5CDD505-2E9C-101B-9397-08002B2CF9AE}">
    <vt:lpwstr>20250404100956</vt:lpwstr>
  </property>
</Properties>
</file>