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Heritage Act 2018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Heritage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Heritage Act 2018</w:t>
            </w:r>
          </w:p>
        </w:tc>
        <w:tc>
          <w:p>
            <w:pPr>
              <w:pStyle w:val="Table01Row"/>
            </w:pPr>
            <w:r>
              <w:t>2018/022</w:t>
            </w:r>
          </w:p>
        </w:tc>
        <w:tc>
          <w:p>
            <w:pPr>
              <w:pStyle w:val="Table01Row"/>
            </w:pPr>
            <w:r>
              <w:t>18 Sep 2018</w:t>
            </w:r>
          </w:p>
        </w:tc>
        <w:tc>
          <w:p>
            <w:pPr>
              <w:pStyle w:val="Table01Row"/>
            </w:pPr>
            <w:r>
              <w:rPr/>
              <w:t xml:space="preserve">Pt. 1 (other than s. 3‑10): 18 Sep 2018 (see s. 2(a));</w:t>
            </w:r>
          </w:p>
          <w:p>
            <w:pPr>
              <w:pStyle w:val="Table01Row"/>
            </w:pPr>
            <w:r>
              <w:rPr/>
              <w:t xml:space="preserve">Act other than heading to Pt. 1 &amp; s. 1 &amp; 2: 1 Jul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2019 p. 2375)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4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349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Heritage Act 2018</vt:lpwstr>
  </property>
  <property pid="3" name="IDAct" fmtid="{D5CDD505-2E9C-101B-9397-08002B2CF9AE}">
    <vt:lpwstr>147195</vt:lpwstr>
  </property>
  <property pid="4" name="ChangedDate" fmtid="{D5CDD505-2E9C-101B-9397-08002B2CF9AE}">
    <vt:lpwstr>20250404100956</vt:lpwstr>
  </property>
</Properties>
</file>