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T</w:t>
      </w:r>
    </w:p>
    <w:p>
      <w:pPr>
        <w:pStyle w:val="IActName"/>
      </w:pPr>
      <w:r>
        <w:t>TAB (Disposal) Act 2019</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Treasurer (Parts 1‑5, other than section 27, only. The remainder is administered by the Minister for Racing and Gaming, principally assisted by the Department of Local Government, Industry Regulation and Safety)</w:t>
            </w:r>
          </w:p>
        </w:tc>
      </w:tr>
      <w:tr>
        <w:trPr>
          <w:cantSplit/>
        </w:trPr>
        <w:tc>
          <w:p>
            <w:pPr>
              <w:pStyle w:val="Table01Row"/>
              <w:keepNext/>
            </w:pPr>
            <w:r>
              <w:rPr>
                <w:b/>
              </w:rPr>
              <w:t>Agency:</w:t>
            </w:r>
          </w:p>
        </w:tc>
        <w:tc>
          <w:p>
            <w:pPr>
              <w:pStyle w:val="Table01Row"/>
              <w:keepNext/>
            </w:pPr>
            <w:r>
              <w:t>Department of Treasury and Finance</w:t>
            </w:r>
          </w:p>
        </w:tc>
      </w:tr>
      <w:tr>
        <w:trPr>
          <w:cantSplit/>
        </w:trPr>
        <w:tc>
          <w:p>
            <w:pPr>
              <w:pStyle w:val="Table01Row"/>
              <w:keepNext/>
            </w:pPr>
            <w:r>
              <w:rPr>
                <w:b/>
              </w:rPr>
              <w:t>Portfolio:</w:t>
            </w:r>
          </w:p>
        </w:tc>
        <w:tc>
          <w:p>
            <w:pPr>
              <w:pStyle w:val="Table01Row"/>
              <w:keepNext/>
            </w:pPr>
            <w:r>
              <w:t>Minister for Racing and Gaming (except Parts 1 to 5, other than section 27, which are administered by the Treasurer principally assisted by the Department of Treasury and Finance)</w:t>
            </w:r>
          </w:p>
        </w:tc>
      </w:tr>
      <w:tr>
        <w:trPr>
          <w:cantSplit/>
        </w:trPr>
        <w:tc>
          <w:p>
            <w:pPr>
              <w:pStyle w:val="Table01Row"/>
              <w:keepNext/>
            </w:pPr>
            <w:r>
              <w:rPr>
                <w:b/>
              </w:rPr>
              <w:t>Agency:</w:t>
            </w:r>
          </w:p>
        </w:tc>
        <w:tc>
          <w:p>
            <w:pPr>
              <w:pStyle w:val="Table01Row"/>
              <w:keepNext/>
            </w:pPr>
            <w:r>
              <w:t>Department of Local Government, Industry Regulation and Safety</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TAB (Disposal) Act 2019</w:t>
            </w:r>
          </w:p>
        </w:tc>
        <w:tc>
          <w:p>
            <w:pPr>
              <w:pStyle w:val="Table01Row"/>
            </w:pPr>
            <w:r>
              <w:t>2019/021</w:t>
            </w:r>
          </w:p>
        </w:tc>
        <w:tc>
          <w:p>
            <w:pPr>
              <w:pStyle w:val="Table01Row"/>
            </w:pPr>
            <w:r>
              <w:t>18 Sep 2019</w:t>
            </w:r>
          </w:p>
        </w:tc>
        <w:tc>
          <w:p>
            <w:pPr>
              <w:pStyle w:val="Table01Row"/>
            </w:pPr>
            <w:r>
              <w:rPr/>
              <w:t xml:space="preserve">Pt. 1: 18 Sep 2019 (see s. 2(1)(a));</w:t>
            </w:r>
          </w:p>
          <w:p>
            <w:pPr>
              <w:pStyle w:val="Table01Row"/>
            </w:pPr>
            <w:r>
              <w:rPr/>
              <w:t xml:space="preserve">Act other than Pt. 1, s. 40(2), (3), (5), (6), (8), (10)‑(13), (15) &amp; (16), 41, 43‑45, 49‑51, 53‑76; 77(2), 78, 79, 86‑88, 89(1), 90‑92, 94‑104, Pt. 9 Div. 3 &amp; 4 &amp; Pt. 10: 19 Sep 2019 (see s. 2(1)(c));</w:t>
            </w:r>
          </w:p>
          <w:p>
            <w:pPr>
              <w:pStyle w:val="Table01Row"/>
            </w:pPr>
            <w:r>
              <w:rPr/>
              <w:t xml:space="preserve">s. 40(2), (3), (5), (6), (8), (10)‑(13), (15) &amp; (16), 41, 43‑45, 49‑51, 53‑76, 77(2), 78, 79, 86‑88, 89(1), 90‑92, 94‑104, Pt. 9 Div. 3 &amp; 4 &amp; Pt. 10: to be proclaimed (see s. 2(1)(b) &amp; 2(2))</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TAB (Disposal) Act 2019</vt:lpwstr>
  </property>
  <property pid="3" name="IDAct" fmtid="{D5CDD505-2E9C-101B-9397-08002B2CF9AE}">
    <vt:lpwstr>147236</vt:lpwstr>
  </property>
  <property pid="4" name="ChangedDate" fmtid="{D5CDD505-2E9C-101B-9397-08002B2CF9AE}">
    <vt:lpwstr>20260804143152</vt:lpwstr>
  </property>
</Properties>
</file>