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COVID‑19 Response and Economic Recovery Omnibus Act 2020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Pt. 1: 11 Sep 2020 (see s. 2(a));</w:t>
            </w:r>
          </w:p>
          <w:p>
            <w:pPr>
              <w:pStyle w:val="Table01Row"/>
            </w:pPr>
            <w:r>
              <w:rPr/>
              <w:t xml:space="preserve">Act other than Pt. 1: 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</w:t>
              <w:t>s. 347</w:t>
            </w:r>
          </w:p>
        </w:tc>
        <w:tc>
          <w:p>
            <w:pPr>
              <w:pStyle w:val="Table01Row"/>
            </w:pPr>
            <w:r>
              <w:t>2021/027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The amendment will not come into operation because the section it sought to amend ceased on 31 Dec 2022 before the amendment purported to come into operation (see SL 2021/196 cl. 2)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Postponement of provisions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COVID‑19 Response and Economic Recovery Omnibus Act 2020 Postponement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Proclamation 2021 	(see </w:t>
            </w:r>
            <w:r>
              <w:rPr>
                <w:i/>
              </w:rPr>
              <w:t xml:space="preserve">Gazette</w:t>
            </w:r>
            <w:r>
              <w:rPr/>
              <w:t xml:space="preserve"> 3 Dec 2021 p. 5290)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COVID-19 Response and Economic Recovery Omnibus Act 2020</vt:lpwstr>
  </property>
  <property pid="3" name="IDAct" fmtid="{D5CDD505-2E9C-101B-9397-08002B2CF9AE}">
    <vt:lpwstr>147280</vt:lpwstr>
  </property>
  <property pid="4" name="ChangedDate" fmtid="{D5CDD505-2E9C-101B-9397-08002B2CF9AE}">
    <vt:lpwstr>20250404094514</vt:lpwstr>
  </property>
</Properties>
</file>