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P</w:t>
      </w:r>
    </w:p>
    <w:p>
      <w:pPr>
        <w:pStyle w:val="IActName"/>
      </w:pPr>
      <w:r>
        <w:t>Protection of Information (Entry Registration Information Relating to COVID‑19 and Other Infectious Diseases) Act 2021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Health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Health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Protection of Information (Entry Registration Information Relating to COVID‑19 and Other Infectious Diseases) Act 2021</w:t>
            </w:r>
          </w:p>
        </w:tc>
        <w:tc>
          <w:p>
            <w:pPr>
              <w:pStyle w:val="Table01Row"/>
            </w:pPr>
            <w:r>
              <w:t>2021/003</w:t>
            </w:r>
          </w:p>
        </w:tc>
        <w:tc>
          <w:p>
            <w:pPr>
              <w:pStyle w:val="Table01Row"/>
            </w:pPr>
            <w:r>
              <w:t>21 Jun 2021</w:t>
            </w:r>
          </w:p>
        </w:tc>
        <w:tc>
          <w:p>
            <w:pPr>
              <w:pStyle w:val="Table01Row"/>
            </w:pPr>
            <w:r>
              <w:rPr/>
              <w:t xml:space="preserve">s. 1 &amp; 2: 21 Jun 2021 (see s. 2(a));</w:t>
            </w:r>
          </w:p>
          <w:p>
            <w:pPr>
              <w:pStyle w:val="Table01Row"/>
            </w:pPr>
            <w:r>
              <w:rPr/>
              <w:t xml:space="preserve">Act other than s. 1 &amp; 2: 22 Jun 2021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Emergency Management Amendment (Temporary COVID‑19 Provisions) Act 2022</w:t>
            </w:r>
            <w:r>
              <w:t xml:space="preserve"> </w:t>
              <w:t>Pt. 2 Div. 2 Subdiv. 4</w:t>
            </w:r>
          </w:p>
        </w:tc>
        <w:tc>
          <w:p>
            <w:pPr>
              <w:pStyle w:val="Table01Row"/>
            </w:pPr>
            <w:r>
              <w:t>2022/033</w:t>
            </w:r>
          </w:p>
        </w:tc>
        <w:tc>
          <w:p>
            <w:pPr>
              <w:pStyle w:val="Table01Row"/>
            </w:pPr>
            <w:r>
              <w:t>21 Oct 2022</w:t>
            </w:r>
          </w:p>
        </w:tc>
        <w:tc>
          <w:p>
            <w:pPr>
              <w:pStyle w:val="Table01Row"/>
            </w:pPr>
            <w:r>
              <w:rPr/>
              <w:t xml:space="preserve">3 Nov 2022 (see s. 2(b) and SL 2022/175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</w:t>
              <w:t>Pt. 3 Div. 50</w:t>
            </w:r>
          </w:p>
        </w:tc>
        <w:tc>
          <w:p>
            <w:pPr>
              <w:pStyle w:val="Table01Row"/>
            </w:pPr>
            <w:r>
              <w:t>2023/009</w:t>
            </w:r>
          </w:p>
        </w:tc>
        <w:tc>
          <w:p>
            <w:pPr>
              <w:pStyle w:val="Table01Row"/>
            </w:pPr>
            <w:r>
              <w:t>4 Apr 2023</w:t>
            </w:r>
          </w:p>
        </w:tc>
        <w:tc>
          <w:p>
            <w:pPr>
              <w:pStyle w:val="Table01Row"/>
            </w:pPr>
            <w:r>
              <w:rPr/>
              <w:t xml:space="preserve">5 Apr 2023 (see s. 2(j))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Protection of Information (Entry Registration Information Relating to COVID-19 and Other Infectious Diseases) Act 2021</vt:lpwstr>
  </property>
  <property pid="3" name="IDAct" fmtid="{D5CDD505-2E9C-101B-9397-08002B2CF9AE}">
    <vt:lpwstr>147299</vt:lpwstr>
  </property>
  <property pid="4" name="ChangedDate" fmtid="{D5CDD505-2E9C-101B-9397-08002B2CF9AE}">
    <vt:lpwstr>20250514161900</vt:lpwstr>
  </property>
</Properties>
</file>