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Ticket Scalping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Ticket Scalping Act 2021</w:t>
            </w:r>
          </w:p>
        </w:tc>
        <w:tc>
          <w:p>
            <w:pPr>
              <w:pStyle w:val="Table01Row"/>
            </w:pPr>
            <w:r>
              <w:t>2021/017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Pt. 1: 9 Sep 2021 (see s. 2(a));</w:t>
            </w:r>
          </w:p>
          <w:p>
            <w:pPr>
              <w:pStyle w:val="Table01Row"/>
            </w:pPr>
            <w:r>
              <w:rPr/>
              <w:t xml:space="preserve">Act other than Pt. 1: 10 Sep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Ticket Scalping Act 2021</vt:lpwstr>
  </property>
  <property pid="3" name="IDAct" fmtid="{D5CDD505-2E9C-101B-9397-08002B2CF9AE}">
    <vt:lpwstr>147313</vt:lpwstr>
  </property>
  <property pid="4" name="ChangedDate" fmtid="{D5CDD505-2E9C-101B-9397-08002B2CF9AE}">
    <vt:lpwstr>20250404114309</vt:lpwstr>
  </property>
</Properties>
</file>