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V</w:t>
      </w:r>
    </w:p>
    <w:p>
      <w:pPr>
        <w:pStyle w:val="IActName"/>
      </w:pPr>
      <w:r>
        <w:t>Veterinary Practice Act 2021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Practice Act 2021</w:t>
            </w:r>
          </w:p>
        </w:tc>
        <w:tc>
          <w:p>
            <w:pPr>
              <w:pStyle w:val="Table01Row"/>
            </w:pPr>
            <w:r>
              <w:t>2021/019</w:t>
            </w:r>
          </w:p>
        </w:tc>
        <w:tc>
          <w:p>
            <w:pPr>
              <w:pStyle w:val="Table01Row"/>
            </w:pPr>
            <w:r>
              <w:t>27 Oct 2021</w:t>
            </w:r>
          </w:p>
        </w:tc>
        <w:tc>
          <w:p>
            <w:pPr>
              <w:pStyle w:val="Table01Row"/>
            </w:pPr>
            <w:r>
              <w:rPr/>
              <w:t xml:space="preserve">Pt. 1: 27 Oct 2021 (see s. 2(a));</w:t>
            </w:r>
          </w:p>
          <w:p>
            <w:pPr>
              <w:pStyle w:val="Table01Row"/>
            </w:pPr>
            <w:r>
              <w:rPr/>
              <w:t xml:space="preserve">Act other than Pt. 1: 18 Jun 2022 (see s. 2(b) and SL 2022/81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</w:t>
              <w:t>Pt. 3 Div. 14</w:t>
            </w:r>
          </w:p>
        </w:tc>
        <w:tc>
          <w:p>
            <w:pPr>
              <w:pStyle w:val="Table01Row"/>
            </w:pPr>
            <w:r>
              <w:t>2022/007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64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 &amp; 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Veterinary Practice Act 2021</vt:lpwstr>
  </property>
  <property pid="3" name="IDAct" fmtid="{D5CDD505-2E9C-101B-9397-08002B2CF9AE}">
    <vt:lpwstr>147315</vt:lpwstr>
  </property>
  <property pid="4" name="ChangedDate" fmtid="{D5CDD505-2E9C-101B-9397-08002B2CF9AE}">
    <vt:lpwstr>20260804171808</vt:lpwstr>
  </property>
</Properties>
</file>