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Legal Profession Uniform Law Application Act 2022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Pt. 1: 14 Apr 2022 (see s. 2(a));</w:t>
            </w:r>
          </w:p>
          <w:p>
            <w:pPr>
              <w:pStyle w:val="Table01Row"/>
            </w:pPr>
            <w:r>
              <w:rPr/>
              <w:t xml:space="preserve">Act other than Pt. 1: 1 Jul 2022 (see s. 2(b) and 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(Levy) Act 2022</w:t>
            </w:r>
          </w:p>
        </w:tc>
        <w:tc>
          <w:p>
            <w:pPr>
              <w:pStyle w:val="Table01Row"/>
            </w:pPr>
            <w:r>
              <w:t>2022/010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s. 1 &amp; 2: 14 Apr 2022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2022 (see s. 2(b)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8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Legal Profession Uniform Law Application Act 2022</vt:lpwstr>
  </property>
  <property pid="3" name="IDAct" fmtid="{D5CDD505-2E9C-101B-9397-08002B2CF9AE}">
    <vt:lpwstr>147341</vt:lpwstr>
  </property>
  <property pid="4" name="ChangedDate" fmtid="{D5CDD505-2E9C-101B-9397-08002B2CF9AE}">
    <vt:lpwstr>20250402124409</vt:lpwstr>
  </property>
</Properties>
</file>