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Charitable Trusts Act 2022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Charitable Trusts Act 2022</w:t>
            </w:r>
          </w:p>
        </w:tc>
        <w:tc>
          <w:p>
            <w:pPr>
              <w:pStyle w:val="Table01Row"/>
            </w:pPr>
            <w:r>
              <w:t>2022/038</w:t>
            </w:r>
          </w:p>
        </w:tc>
        <w:tc>
          <w:p>
            <w:pPr>
              <w:pStyle w:val="Table01Row"/>
            </w:pPr>
            <w:r>
              <w:t>1 Nov 2022</w:t>
            </w:r>
          </w:p>
        </w:tc>
        <w:tc>
          <w:p>
            <w:pPr>
              <w:pStyle w:val="Table01Row"/>
            </w:pPr>
            <w:r>
              <w:rPr/>
              <w:t xml:space="preserve">Pt. 1: 1 Nov 2022 (see s. 2(a));</w:t>
            </w:r>
          </w:p>
          <w:p>
            <w:pPr>
              <w:pStyle w:val="Table01Row"/>
            </w:pPr>
            <w:r>
              <w:rPr/>
              <w:t xml:space="preserve">Act other than Pt. 1: 21 Nov 2022 (see s. 2(b) and SL 2022/194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Charitable Trusts Act 2022</vt:lpwstr>
  </property>
  <property pid="3" name="IDAct" fmtid="{D5CDD505-2E9C-101B-9397-08002B2CF9AE}">
    <vt:lpwstr>147369</vt:lpwstr>
  </property>
  <property pid="4" name="ChangedDate" fmtid="{D5CDD505-2E9C-101B-9397-08002B2CF9AE}">
    <vt:lpwstr>20250402124408</vt:lpwstr>
  </property>
</Properties>
</file>