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Law (Mental Impairment) Act 2023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Pt. 1: 13 Apr 2023 (see s. 2(a));</w:t>
            </w:r>
          </w:p>
          <w:p>
            <w:pPr>
              <w:pStyle w:val="Table01Row"/>
            </w:pPr>
            <w:r>
              <w:rPr/>
              <w:t xml:space="preserve">Act other than Pt. 1: 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2(b)(ii)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2024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2024/028</w:t>
            </w:r>
          </w:p>
        </w:tc>
        <w:tc>
          <w:p>
            <w:pPr>
              <w:pStyle w:val="Table01Row"/>
            </w:pPr>
            <w:r>
              <w:t>17 Sep 2024</w:t>
            </w:r>
          </w:p>
        </w:tc>
        <w:tc>
          <w:p>
            <w:pPr>
              <w:pStyle w:val="Table01Row"/>
            </w:pPr>
            <w:r>
              <w:rPr/>
              <w:t xml:space="preserve">Pt. 4 (other than s. 38): 18 Sep 2024 (see s. 2(b)(i) and SL 2024/175 cl. 2);</w:t>
            </w:r>
          </w:p>
          <w:p>
            <w:pPr>
              <w:pStyle w:val="Table01Row"/>
            </w:pPr>
            <w:r>
              <w:rPr/>
              <w:t xml:space="preserve">s. 38: to be proclaimed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Information Commissioner Act 2024</w:t>
            </w:r>
            <w:r>
              <w:t xml:space="preserve"> </w:t>
              <w:t>Pt. 7 Div. 2 &amp; Div. 4 Subdiv. 2</w:t>
            </w:r>
          </w:p>
        </w:tc>
        <w:tc>
          <w:p>
            <w:pPr>
              <w:pStyle w:val="Table01Row"/>
            </w:pPr>
            <w:r>
              <w:t>2024/052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Pt. 7 Div. 2 deleted see s. 2(2);</w:t>
            </w:r>
          </w:p>
          <w:p>
            <w:pPr>
              <w:pStyle w:val="Table01Row"/>
            </w:pPr>
            <w:r>
              <w:rPr/>
              <w:t xml:space="preserve">Pt. 7 Div. 4 Subdiv. 2:  1 Jul 2025 (see s. 2(1)(c)(i) &amp; (d) and SL 2025/102 cl. 2(a))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Law (Mental Impairment) Act 2023</vt:lpwstr>
  </property>
  <property pid="3" name="IDAct" fmtid="{D5CDD505-2E9C-101B-9397-08002B2CF9AE}">
    <vt:lpwstr>147388</vt:lpwstr>
  </property>
  <property pid="4" name="ChangedDate" fmtid="{D5CDD505-2E9C-101B-9397-08002B2CF9AE}">
    <vt:lpwstr>20250402124408</vt:lpwstr>
  </property>
</Properties>
</file>