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Government Trading Enterprises Act 2023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Pt. 1: 22 Jun 2023 (see s. 2(a));</w:t>
            </w:r>
          </w:p>
          <w:p>
            <w:pPr>
              <w:pStyle w:val="Table01Row"/>
            </w:pPr>
            <w:r>
              <w:rPr/>
              <w:t xml:space="preserve">Act other than Pt. 1: 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</w:t>
              <w:t>Pt. 8 Div. 3</w:t>
            </w:r>
          </w:p>
        </w:tc>
        <w:tc>
          <w:p>
            <w:pPr>
              <w:pStyle w:val="Table01Row"/>
            </w:pPr>
            <w:r>
              <w:t>2024/044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14 Nov 2024 (see s. 2(b)(v))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  <w:r>
              <w:rPr>
                <w:color w:val="FF0000"/>
              </w:rPr>
              <w:t xml:space="preserve"> </w:t>
              <w:t>Pt. 6 Div.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2026/128 cl.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Government Trading Enterprises Act 2023</vt:lpwstr>
  </property>
  <property pid="3" name="IDAct" fmtid="{D5CDD505-2E9C-101B-9397-08002B2CF9AE}">
    <vt:lpwstr>147392</vt:lpwstr>
  </property>
  <property pid="4" name="ChangedDate" fmtid="{D5CDD505-2E9C-101B-9397-08002B2CF9AE}">
    <vt:lpwstr>20260804143151</vt:lpwstr>
  </property>
</Properties>
</file>