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Legal Profession Uniform Law (WA)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(WA)</w:t>
            </w:r>
          </w:p>
        </w:tc>
        <w:tc>
          <w:p>
            <w:pPr>
              <w:pStyle w:val="Table01Row"/>
            </w:pPr>
            <w:r>
              <w:t>‑</w:t>
            </w:r>
          </w:p>
        </w:tc>
        <w:tc>
          <w:p>
            <w:pPr>
              <w:pStyle w:val="Table01Row"/>
            </w:pPr>
            <w:r>
              <w:t>1 Jul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WA Act No. 2022/9 s. 2(b) and 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Legal Profession Uniform Law (WA)</vt:lpwstr>
  </property>
  <property pid="3" name="IDAct" fmtid="{D5CDD505-2E9C-101B-9397-08002B2CF9AE}">
    <vt:lpwstr>147415</vt:lpwstr>
  </property>
  <property pid="4" name="ChangedDate" fmtid="{D5CDD505-2E9C-101B-9397-08002B2CF9AE}">
    <vt:lpwstr>20241001145702</vt:lpwstr>
  </property>
</Properties>
</file>