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 Safety National Law Application Act 2024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Application Act 2024</w:t>
            </w:r>
          </w:p>
        </w:tc>
        <w:tc>
          <w:p>
            <w:pPr>
              <w:pStyle w:val="Table01Row"/>
            </w:pPr>
            <w:r>
              <w:t>2024/007</w:t>
            </w:r>
          </w:p>
        </w:tc>
        <w:tc>
          <w:p>
            <w:pPr>
              <w:pStyle w:val="Table01Row"/>
            </w:pPr>
            <w:r>
              <w:t>26 Mar 2024</w:t>
            </w:r>
          </w:p>
        </w:tc>
        <w:tc>
          <w:p>
            <w:pPr>
              <w:pStyle w:val="Table01Row"/>
            </w:pPr>
            <w:r>
              <w:rPr/>
              <w:t xml:space="preserve">Pt. 1: 26 Mar 2024 (see s. 2(a));</w:t>
            </w:r>
          </w:p>
          <w:p>
            <w:pPr>
              <w:pStyle w:val="Table01Row"/>
            </w:pPr>
            <w:r>
              <w:rPr/>
              <w:t xml:space="preserve">Act other than Pt. 1: 1 Oct 2024 (see s. 2(b) and SL 2024/193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 Safety National Law Application Act 2024</vt:lpwstr>
  </property>
  <property pid="3" name="IDAct" fmtid="{D5CDD505-2E9C-101B-9397-08002B2CF9AE}">
    <vt:lpwstr>147422</vt:lpwstr>
  </property>
  <property pid="4" name="ChangedDate" fmtid="{D5CDD505-2E9C-101B-9397-08002B2CF9AE}">
    <vt:lpwstr>20260804143231</vt:lpwstr>
  </property>
</Properties>
</file>