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Short‑Term Rental Accommodation Act 2024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Short‑Term Rental Accommodation Act 2024</w:t>
            </w:r>
          </w:p>
        </w:tc>
        <w:tc>
          <w:p>
            <w:pPr>
              <w:pStyle w:val="Table01Row"/>
            </w:pPr>
            <w:r>
              <w:t>2024/012</w:t>
            </w:r>
          </w:p>
        </w:tc>
        <w:tc>
          <w:p>
            <w:pPr>
              <w:pStyle w:val="Table01Row"/>
            </w:pPr>
            <w:r>
              <w:t>22 Apr 2024</w:t>
            </w:r>
          </w:p>
        </w:tc>
        <w:tc>
          <w:p>
            <w:pPr>
              <w:pStyle w:val="Table01Row"/>
            </w:pPr>
            <w:r>
              <w:rPr/>
              <w:t xml:space="preserve">Pt. 1: 22 Apr 2024 (see s. 2(a));</w:t>
            </w:r>
          </w:p>
          <w:p>
            <w:pPr>
              <w:pStyle w:val="Table01Row"/>
            </w:pPr>
            <w:r>
              <w:rPr/>
              <w:t xml:space="preserve">Pt. 2‑8 (other than s. 47): 1 Jul 2024 (see s. 2(b) and SL 2024/88 cl. 2(a));</w:t>
            </w:r>
          </w:p>
          <w:p>
            <w:pPr>
              <w:pStyle w:val="Table01Row"/>
            </w:pPr>
            <w:r>
              <w:rPr/>
              <w:t xml:space="preserve">s. 47: 1 Jan 2025 (see s. 2(b) and SL 2024/88 cl.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Short-Term Rental Accommodation Act 2024</vt:lpwstr>
  </property>
  <property pid="3" name="IDAct" fmtid="{D5CDD505-2E9C-101B-9397-08002B2CF9AE}">
    <vt:lpwstr>147427</vt:lpwstr>
  </property>
  <property pid="4" name="ChangedDate" fmtid="{D5CDD505-2E9C-101B-9397-08002B2CF9AE}">
    <vt:lpwstr>20250404114309</vt:lpwstr>
  </property>
</Properties>
</file>