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Therapeutic Goods Law Application Act 2024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Therapeutic Goods Law Application Act 2024</w:t>
            </w:r>
          </w:p>
        </w:tc>
        <w:tc>
          <w:p>
            <w:pPr>
              <w:pStyle w:val="Table01Row"/>
            </w:pPr>
            <w:r>
              <w:t>2024/019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Pt. 1: 14 May 2024 (see s. 2(a));</w:t>
            </w:r>
          </w:p>
          <w:p>
            <w:pPr>
              <w:pStyle w:val="Table01Row"/>
            </w:pPr>
            <w:r>
              <w:rPr/>
              <w:t xml:space="preserve">Act other than Pt. 1: 30 Aug 2024 (see s. 2(b) and SL 2024/177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Therapeutic Goods Law Application Act 2024</vt:lpwstr>
  </property>
  <property pid="3" name="IDAct" fmtid="{D5CDD505-2E9C-101B-9397-08002B2CF9AE}">
    <vt:lpwstr>147434</vt:lpwstr>
  </property>
  <property pid="4" name="ChangedDate" fmtid="{D5CDD505-2E9C-101B-9397-08002B2CF9AE}">
    <vt:lpwstr>20250404113905</vt:lpwstr>
  </property>
</Properties>
</file>