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F</w:t>
      </w:r>
    </w:p>
    <w:p>
      <w:pPr>
        <w:pStyle w:val="IActName"/>
      </w:pPr>
      <w:r>
        <w:t>Firearms Act 2024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Police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Police Service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Firearms Act 2024</w:t>
            </w:r>
          </w:p>
        </w:tc>
        <w:tc>
          <w:p>
            <w:pPr>
              <w:pStyle w:val="Table01Row"/>
            </w:pPr>
            <w:r>
              <w:t>2024/023 (as amended by 2024/023 Pt. 17 Div. 3 Subdiv. 11)</w:t>
            </w:r>
          </w:p>
        </w:tc>
        <w:tc>
          <w:p>
            <w:pPr>
              <w:pStyle w:val="Table01Row"/>
            </w:pPr>
            <w:r>
              <w:t>27 Jun 2024</w:t>
            </w:r>
          </w:p>
        </w:tc>
        <w:tc>
          <w:p>
            <w:pPr>
              <w:pStyle w:val="Table01Row"/>
            </w:pPr>
            <w:r>
              <w:rPr/>
              <w:t xml:space="preserve">Pt. 1: 27 Jun 2024 (see s. 2(a));</w:t>
            </w:r>
          </w:p>
          <w:p>
            <w:pPr>
              <w:pStyle w:val="Table01Row"/>
            </w:pPr>
            <w:r>
              <w:rPr/>
              <w:t xml:space="preserve">Pt. 16: 28 Jun 2024 (see s. 2(b));</w:t>
            </w:r>
          </w:p>
          <w:p>
            <w:pPr>
              <w:pStyle w:val="Table01Row"/>
            </w:pPr>
            <w:r>
              <w:rPr/>
              <w:t xml:space="preserve">Pt. 17 Div. 3 Subdiv. 11: 1 Sep 2024 (see s. 2(c)(ii) and SL 2024/175 cl. 2);</w:t>
            </w:r>
          </w:p>
          <w:p>
            <w:pPr>
              <w:pStyle w:val="Table01Row"/>
            </w:pPr>
            <w:r>
              <w:rPr/>
              <w:t xml:space="preserve">Act other than Pt. 1, Pt. 16 &amp; Pt: 17 Div. 3 Subdiv. 11: 31 Mar 2025 (see s. 2(d) and SL 2024/289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Legislation Amendment Act 2024</w:t>
            </w:r>
            <w:r>
              <w:t xml:space="preserve"> </w:t>
              <w:t>Pt. 5 Div. 3</w:t>
            </w:r>
          </w:p>
        </w:tc>
        <w:tc>
          <w:p>
            <w:pPr>
              <w:pStyle w:val="Table01Row"/>
            </w:pPr>
            <w:r>
              <w:t>2024/033</w:t>
            </w:r>
          </w:p>
        </w:tc>
        <w:tc>
          <w:p>
            <w:pPr>
              <w:pStyle w:val="Table01Row"/>
            </w:pPr>
            <w:r>
              <w:t>26 Sep 2024</w:t>
            </w:r>
          </w:p>
        </w:tc>
        <w:tc>
          <w:p>
            <w:pPr>
              <w:pStyle w:val="Table01Row"/>
            </w:pPr>
            <w:r>
              <w:rPr/>
              <w:t xml:space="preserve">20 Dec 2024 (see s. 2(1)(b) and SL 2024/277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Firearms Act 2024</vt:lpwstr>
  </property>
  <property pid="3" name="IDAct" fmtid="{D5CDD505-2E9C-101B-9397-08002B2CF9AE}">
    <vt:lpwstr>147438</vt:lpwstr>
  </property>
  <property pid="4" name="ChangedDate" fmtid="{D5CDD505-2E9C-101B-9397-08002B2CF9AE}">
    <vt:lpwstr>20260401142917</vt:lpwstr>
  </property>
</Properties>
</file>