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body>
    <w:p>
      <w:pPr>
        <w:pStyle w:val="IAlphabetDivider"/>
      </w:pPr>
      <w:r>
        <w:t>H</w:t>
      </w:r>
    </w:p>
    <w:p>
      <w:pPr>
        <w:pStyle w:val="IActName"/>
      </w:pPr>
      <w:r>
        <w:t>Health Practitioner Regulation National Law (Western Australia)</w:t>
      </w:r>
    </w:p>
    <w:p>
      <w:pPr>
        <w:pStyle w:val="Table01Note"/>
      </w:pPr>
      <w:r>
        <w:rPr/>
        <w:t xml:space="preserve">The Health Practitioner Regulation National Law (as set out in the Health Practitioner Regulation National Law Act 2009 (Queensland) Schedule) is applied and modified as a law of Western Australia under the Health Practitioner Regulation National Law Application Act 2024. </w:t>
      </w:r>
      <w:r>
        <w:br/>
      </w:r>
      <w:r>
        <w:rPr/>
        <w:t xml:space="preserve">This law of Western Australia also includes any amendments to the Health Practitioner Regulation National Law made by Queensland Acts where those amendments have effect and have commenced in Western Australia under the Health Practitioner Regulation National Law Application Act 2024 s. 8 and 9.</w:t>
      </w:r>
    </w:p>
    <w:tbl>
      <w:tblPr>
        <w:tblW w:w="0" w:type="auto"/>
        <w:tblLayout w:type="fixed"/>
        <w:jc w:val="center"/>
        <w:tblCellMar>
          <w:left w:w="80" w:type="dxa"/>
          <w:right w:w="80" w:type="dxa"/>
        </w:tblCellMar>
        <w:tblLook w:val="0000" w:firstRow="0" w:lastRow="0" w:firstColumn="0" w:lastColumn="0" w:noHBand="0" w:noVBand="0"/>
      </w:tblPr>
      <w:tblGrid>
        <w:gridCol w:w="4253"/>
        <w:gridCol w:w="1134"/>
        <w:gridCol w:w="1134"/>
        <w:gridCol w:w="3686"/>
      </w:tblGrid>
      <w:tr>
        <w:trPr>
          <w:cantSplit/>
        </w:trPr>
        <w:tc>
          <w:p>
            <w:pPr>
              <w:pStyle w:val="Table01Row"/>
            </w:pPr>
            <w:r>
              <w:rPr>
                <w:i/>
              </w:rPr>
              <w:t>Health Practitioner Regulation National Law (Western Australia)</w:t>
            </w:r>
          </w:p>
        </w:tc>
        <w:tc>
          <w:p>
            <w:pPr>
              <w:pStyle w:val="Table01Row"/>
            </w:pPr>
            <w:r>
              <w:t>‑</w:t>
            </w:r>
          </w:p>
        </w:tc>
        <w:tc>
          <w:p>
            <w:pPr>
              <w:pStyle w:val="Table01Row"/>
            </w:pPr>
            <w:r>
              <w:t>15 May 2024</w:t>
            </w:r>
          </w:p>
        </w:tc>
        <w:tc>
          <w:p>
            <w:pPr>
              <w:pStyle w:val="Table01Row"/>
            </w:pPr>
            <w:r>
              <w:rPr/>
              <w:t xml:space="preserve">15 May 2024 (see WA Act No. 2024/021 s. 2(c))</w:t>
            </w:r>
          </w:p>
        </w:tc>
      </w:tr>
      <w:tr>
        <w:trPr>
          <w:cantSplit/>
        </w:trPr>
        <w:tc>
          <w:p>
            <w:pPr>
              <w:pStyle w:val="Table01Row"/>
            </w:pPr>
            <w:r>
              <w:rPr>
                <w:i/>
              </w:rPr>
              <w:t>Health Practitioner Regulation National Law Application Act 2024</w:t>
            </w:r>
            <w:r>
              <w:t xml:space="preserve"> </w:t>
              <w:t>Pt. 3</w:t>
            </w:r>
          </w:p>
        </w:tc>
        <w:tc>
          <w:p>
            <w:pPr>
              <w:pStyle w:val="Table01Row"/>
            </w:pPr>
            <w:r>
              <w:t>2024/021</w:t>
            </w:r>
          </w:p>
        </w:tc>
        <w:tc>
          <w:p>
            <w:pPr>
              <w:pStyle w:val="Table01Row"/>
            </w:pPr>
            <w:r>
              <w:t>14 May 2024</w:t>
            </w:r>
          </w:p>
        </w:tc>
        <w:tc>
          <w:p>
            <w:pPr>
              <w:pStyle w:val="Table01Row"/>
            </w:pPr>
            <w:r>
              <w:rPr/>
              <w:t xml:space="preserve">Pt. 3 (other than s. 29): 15 May 2024 (see s. 2(c));</w:t>
            </w:r>
          </w:p>
          <w:p>
            <w:pPr>
              <w:pStyle w:val="Table01Row"/>
            </w:pPr>
            <w:r>
              <w:rPr/>
              <w:t xml:space="preserve">s. 29: 1 Jul 2024 (see s. 2(b)(ii))</w:t>
            </w:r>
          </w:p>
        </w:tc>
      </w:tr>
      <w:tr>
        <w:trPr>
          <w:cantSplit/>
        </w:trPr>
        <w:tc>
          <w:p>
            <w:pPr>
              <w:pStyle w:val="Table01Row"/>
            </w:pPr>
            <w:r>
              <w:rPr>
                <w:i/>
              </w:rPr>
              <w:t>Health Practitioner Regulation National Law and Other Legislation Amendment Act 2022</w:t>
            </w:r>
            <w:r>
              <w:t xml:space="preserve"> </w:t>
              <w:t>Ch. 3 Pt. 7, 8, 13, 21 (other than s. 93 to the extent it is already in force on 10 Oct 2023), Pt. 29 &amp; 30 &amp; s. 117(2), 124, 127 &amp; 128</w:t>
            </w:r>
          </w:p>
        </w:tc>
        <w:tc>
          <w:p>
            <w:pPr>
              <w:pStyle w:val="Table01Row"/>
            </w:pPr>
            <w:r>
              <w:t>2022/022 (Qld Act)</w:t>
            </w:r>
          </w:p>
        </w:tc>
        <w:tc>
          <w:p>
            <w:pPr>
              <w:pStyle w:val="Table01Row"/>
            </w:pPr>
            <w:r>
              <w:t>1 Jul 2024</w:t>
            </w:r>
          </w:p>
        </w:tc>
        <w:tc>
          <w:p>
            <w:pPr>
              <w:pStyle w:val="Table01Row"/>
            </w:pPr>
            <w:r>
              <w:rPr/>
              <w:t xml:space="preserve">Ch. 3 Pt. 7, 8, 13, 21 (other than section 93 to the extent it is already in force on 10 Oct 2023), Pt. 29 and 30 and s. 117(2), 124, 127 and 128: 1 Jul 2024 (see Qld SL 2024/93)</w:t>
            </w:r>
          </w:p>
        </w:tc>
      </w:tr>
      <w:tr>
        <w:trPr>
          <w:cantSplit/>
        </w:trPr>
        <w:tc>
          <w:p>
            <w:pPr>
              <w:pStyle w:val="Table01Row"/>
            </w:pPr>
            <w:r>
              <w:rPr>
                <w:i/>
              </w:rPr>
              <w:t>Health Practitioner Regulation National Law and Other Legislation Amendment Act 2025</w:t>
            </w:r>
            <w:r>
              <w:t xml:space="preserve"> </w:t>
              <w:t>Pt. 1 &amp; 3</w:t>
            </w:r>
          </w:p>
        </w:tc>
        <w:tc>
          <w:p>
            <w:pPr>
              <w:pStyle w:val="Table01Row"/>
            </w:pPr>
            <w:r>
              <w:t>2025/006 (Qld Act)</w:t>
            </w:r>
          </w:p>
        </w:tc>
        <w:tc>
          <w:p>
            <w:pPr>
              <w:pStyle w:val="Table01Row"/>
            </w:pPr>
            <w:r>
              <w:t>27 Nov 2025</w:t>
            </w:r>
          </w:p>
        </w:tc>
        <w:tc>
          <w:p>
            <w:pPr>
              <w:pStyle w:val="Table01Row"/>
            </w:pPr>
            <w:r>
              <w:rPr/>
              <w:t xml:space="preserve">Pt. 1: 27 Nov 2025 (see WA SL 2025/192 cl. 3);</w:t>
            </w:r>
          </w:p>
          <w:p>
            <w:pPr>
              <w:pStyle w:val="Table01Row"/>
            </w:pPr>
            <w:r>
              <w:rPr/>
              <w:t xml:space="preserve">Pt. 3 (other than s. 16‑21 &amp; s. 23, to the extent it inserts s. 327 &amp; 328): 1 Dec 2025 (see Qld SL 2025/139));</w:t>
            </w:r>
          </w:p>
          <w:p>
            <w:pPr>
              <w:pStyle w:val="Table01Row"/>
            </w:pPr>
            <w:r>
              <w:rPr/>
              <w:t xml:space="preserve">s. 16‑21 &amp; 23 (to the extent it inserts s. 327 &amp; 328): 10 Apr 2026 (automatic commencement under Acts Interpretation Act 1954 (Qld) s. 15DA(2))</w:t>
            </w:r>
          </w:p>
        </w:tc>
      </w:tr>
    </w:tbl>
    <w:sectPr>
      <w:headerReference w:type="even" r:id="rId8"/>
      <w:headerReference w:type="default" r:id="rId9"/>
      <w:footerReference w:type="even" r:id="rId10"/>
      <w:footerReference w:type="default" r:id="rId11"/>
      <w:pgSz w:w="11906" w:h="16838" w:code="9"/>
      <w:pgMar w:top="851" w:right="851" w:bottom="851" w:left="851" w:header="851"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0" w:lineRule="exact"/>
      </w:pPr>
    </w:p>
  </w:endnote>
  <w:endnote w:type="continuationSeparator" w:id="0">
    <w:p>
      <w:r>
        <w:t xml:space="preserve"> </w:t>
      </w:r>
    </w:p>
  </w:endnote>
  <w:endnote w:type="continuationNotice" w:id="1">
    <w:p>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IFooter"/>
    </w:pPr>
    <w:r>
      <w:fldChar w:fldCharType="begin"/>
    </w:r>
    <w:r>
      <w:instrText xml:space="preserve"> STYLEREF IActName \* CHARFORMAT</w:instrText>
    </w:r>
    <w:r>
      <w:fldChar w:fldCharType="separate"/>
    </w:r>
    <w:r>
      <w:rPr>
        <w:b/>
        <w:bCs/>
        <w:noProof/>
        <w:lang w:val="en-US"/>
      </w:rPr>
      <w:t>Error! No text of specified style in document.</w:t>
    </w:r>
    <w:r>
      <w:fldChar w:fldCharType="end"/>
    </w:r>
  </w:p>
  <w:p>
    <w:pPr>
      <w:pStyle w:val="Footer"/>
    </w:pPr>
    <w:r>
      <w:rPr>
        <w:sz w:val="18"/>
      </w:rPr>
      <w:t>1-</w:t>
    </w:r>
    <w:r>
      <w:fldChar w:fldCharType="begin"/>
    </w:r>
    <w:r>
      <w:instrText xml:space="preserve"> PAGE </w:instrText>
    </w:r>
    <w:r>
      <w:fldChar w:fldCharType="separate"/>
    </w:r>
    <w:r>
      <w:t>2</w:t>
    </w:r>
    <w:r>
      <w:fldChar w:fldCharType="end"/>
    </w: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IFooter"/>
      <w:rPr>
        <w:sz w:val="10"/>
      </w:rPr>
    </w:pPr>
    <w:r>
      <w:tab/>
    </w:r>
    <w:r>
      <w:fldChar w:fldCharType="begin"/>
    </w:r>
    <w:r>
      <w:instrText xml:space="preserve"> STYLEREF IActName \* CHARFORMAT</w:instrText>
    </w:r>
    <w:r>
      <w:fldChar w:fldCharType="separate"/>
    </w:r>
    <w:r>
      <w:rPr>
        <w:b/>
        <w:bCs/>
        <w:noProof/>
        <w:lang w:val="en-US"/>
      </w:rPr>
      <w:t>Error! No text of specified style in document.</w:t>
    </w:r>
    <w:r>
      <w:fldChar w:fldCharType="end"/>
    </w:r>
  </w:p>
  <w:p>
    <w:pPr>
      <w:pStyle w:val="Footer"/>
    </w:pPr>
    <w:r>
      <w:rPr>
        <w:sz w:val="18"/>
      </w:rPr>
      <w:t>1-</w:t>
    </w: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tab/>
    </w:r>
    <w:r>
      <w:rPr>
        <w:b/>
      </w:rPr>
      <w:fldChar w:fldCharType="begin"/>
    </w:r>
    <w:r>
      <w:rPr>
        <w:b/>
      </w:rPr>
      <w:instrText xml:space="preserve"> STYLEREF  IAlphabetDivider </w:instrText>
    </w:r>
    <w:r>
      <w:rPr>
        <w:b/>
      </w:rPr>
      <w:fldChar w:fldCharType="separate"/>
    </w:r>
    <w:r>
      <w:rPr>
        <w:b/>
      </w:rPr>
      <w:t>Error! No text of specified style in document.</w:t>
    </w:r>
    <w:r>
      <w:rPr>
        <w:b/>
      </w:rPr>
      <w:fldChar w:fldCharType="end"/>
    </w:r>
    <w:r>
      <w:tab/>
      <w:t xml:space="preserve">Table 1 — Acts in force</w:t>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trPr>
        <w:cantSplit/>
        <w:trHeight w:val="510"/>
        <w:jc w:val="center"/>
      </w:trPr>
      <w:tc>
        <w:tcPr>
          <w:tcBorders>
            <w:top w:val="single" w:sz="4" w:space="0" w:color="auto"/>
            <w:bottom w:val="single" w:sz="4" w:space="0" w:color="auto"/>
          </w:tcBorders>
          <w:vAlign w:val="center"/>
        </w:tcPr>
        <w:p>
          <w:pPr>
            <w:pStyle w:val="Table01Hdr"/>
          </w:pPr>
          <w:r>
            <w:t>Act</w:t>
          </w:r>
        </w:p>
      </w:tc>
      <w:tc>
        <w:tcPr>
          <w:tcBorders>
            <w:top w:val="single" w:sz="4" w:space="0" w:color="auto"/>
            <w:bottom w:val="single" w:sz="4" w:space="0" w:color="auto"/>
          </w:tcBorders>
          <w:vAlign w:val="center"/>
        </w:tcPr>
        <w:p>
          <w:pPr>
            <w:pStyle w:val="Table01Hdr"/>
          </w:pPr>
          <w:r>
            <w:t>Year/Number</w:t>
          </w:r>
        </w:p>
      </w:tc>
      <w:tc>
        <w:tcPr>
          <w:tcBorders>
            <w:top w:val="single" w:sz="4" w:space="0" w:color="auto"/>
            <w:bottom w:val="single" w:sz="4" w:space="0" w:color="auto"/>
          </w:tcBorders>
          <w:vAlign w:val="center"/>
        </w:tcPr>
        <w:p>
          <w:pPr>
            <w:pStyle w:val="Table01Hdr"/>
          </w:pPr>
          <w:r>
            <w:t>Assent</w:t>
          </w:r>
        </w:p>
      </w:tc>
      <w:tc>
        <w:tcPr>
          <w:tcBorders>
            <w:top w:val="single" w:sz="4" w:space="0" w:color="auto"/>
            <w:bottom w:val="single" w:sz="4" w:space="0" w:color="auto"/>
          </w:tcBorders>
          <w:vAlign w:val="center"/>
        </w:tcPr>
        <w:p>
          <w:pPr>
            <w:pStyle w:val="Table01Hdr"/>
          </w:pPr>
          <w:r>
            <w:t>Commencement</w:t>
          </w:r>
        </w:p>
      </w:tc>
    </w:tr>
    <w:tr>
      <w:trPr>
        <w:cantSplit/>
        <w:jc w:val="center"/>
      </w:trPr>
      <w:tc>
        <w:tcPr/>
        <w:p/>
      </w:tc>
      <w:tc>
        <w:tcPr/>
        <w:p/>
      </w:tc>
      <w:tc>
        <w:tcPr/>
        <w:p/>
      </w:tc>
      <w:tc>
        <w:tcPr/>
        <w:p/>
      </w:tc>
    </w:tr>
  </w:tbl>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tab/>
    </w:r>
    <w:r>
      <w:tab/>
      <w:t xml:space="preserve">Table 1 — Acts in force</w:t>
    </w:r>
    <w:r>
      <w:tab/>
    </w:r>
    <w:r>
      <w:rPr>
        <w:b/>
      </w:rPr>
      <w:fldChar w:fldCharType="begin"/>
    </w:r>
    <w:r>
      <w:rPr>
        <w:b/>
      </w:rPr>
      <w:instrText xml:space="preserve"> STYLEREF  IAlphabetDivider </w:instrText>
    </w:r>
    <w:r>
      <w:rPr>
        <w:b/>
      </w:rPr>
      <w:fldChar w:fldCharType="separate"/>
    </w:r>
    <w:r>
      <w:rPr>
        <w:b/>
        <w:lang w:val="en-US"/>
      </w:rPr>
      <w:t>Error! No text of specified style in document.</w:t>
    </w:r>
    <w:r>
      <w:rPr>
        <w:b/>
      </w:rPr>
      <w:fldChar w:fldCharType="end"/>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trPr>
        <w:cantSplit/>
        <w:trHeight w:val="510"/>
        <w:tblHeader/>
        <w:jc w:val="center"/>
      </w:trPr>
      <w:tc>
        <w:tcPr>
          <w:tcBorders>
            <w:top w:val="single" w:sz="4" w:space="0" w:color="auto"/>
            <w:bottom w:val="single" w:sz="4" w:space="0" w:color="auto"/>
          </w:tcBorders>
          <w:vAlign w:val="center"/>
        </w:tcPr>
        <w:p>
          <w:pPr>
            <w:pStyle w:val="Table01Hdr"/>
          </w:pPr>
          <w:r>
            <w:t>Act</w:t>
          </w:r>
        </w:p>
      </w:tc>
      <w:tc>
        <w:tcPr>
          <w:tcBorders>
            <w:top w:val="single" w:sz="4" w:space="0" w:color="auto"/>
            <w:bottom w:val="single" w:sz="4" w:space="0" w:color="auto"/>
          </w:tcBorders>
          <w:vAlign w:val="center"/>
        </w:tcPr>
        <w:p>
          <w:pPr>
            <w:pStyle w:val="Table01Hdr"/>
          </w:pPr>
          <w:r>
            <w:t>Year/Number</w:t>
          </w:r>
        </w:p>
      </w:tc>
      <w:tc>
        <w:tcPr>
          <w:tcBorders>
            <w:top w:val="single" w:sz="4" w:space="0" w:color="auto"/>
            <w:bottom w:val="single" w:sz="4" w:space="0" w:color="auto"/>
          </w:tcBorders>
          <w:vAlign w:val="center"/>
        </w:tcPr>
        <w:p>
          <w:pPr>
            <w:pStyle w:val="Table01Hdr"/>
          </w:pPr>
          <w:r>
            <w:t>Assent</w:t>
          </w:r>
        </w:p>
      </w:tc>
      <w:tc>
        <w:tcPr>
          <w:tcBorders>
            <w:top w:val="single" w:sz="4" w:space="0" w:color="auto"/>
            <w:bottom w:val="single" w:sz="4" w:space="0" w:color="auto"/>
          </w:tcBorders>
          <w:vAlign w:val="center"/>
        </w:tcPr>
        <w:p>
          <w:pPr>
            <w:pStyle w:val="Table01Hdr"/>
          </w:pPr>
          <w:r>
            <w:t>Commencement</w:t>
          </w:r>
        </w:p>
      </w:tc>
    </w:tr>
    <w:tr>
      <w:trPr>
        <w:cantSplit/>
        <w:jc w:val="center"/>
      </w:trPr>
      <w:tc>
        <w:tcPr/>
        <w:p/>
      </w:tc>
      <w:tc>
        <w:tcPr/>
        <w:p/>
      </w:tc>
      <w:tc>
        <w:tcPr/>
        <w:p/>
      </w:tc>
      <w:tc>
        <w:tc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7" w15:restartNumberingAfterBreak="0">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32"/>
  </w:num>
  <w:num w:numId="11">
    <w:abstractNumId w:val="16"/>
  </w:num>
  <w:num w:numId="12">
    <w:abstractNumId w:val="18"/>
  </w:num>
  <w:num w:numId="13">
    <w:abstractNumId w:val="11"/>
  </w:num>
  <w:num w:numId="14">
    <w:abstractNumId w:val="2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proofState w:spelling="clean" w:grammar="clean"/>
  <w:defaultTabStop w:val="720"/>
  <w:hyphenationZone w:val="863"/>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61"/>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C21DF542-39DD-4A5F-8DB7-8839CA793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semiHidden/>
    <w:pPr>
      <w:tabs>
        <w:tab w:val="left" w:pos="284"/>
        <w:tab w:val="center" w:pos="5103"/>
        <w:tab w:val="right" w:pos="9923"/>
      </w:tabs>
      <w:spacing w:after="80"/>
    </w:pPr>
  </w:style>
  <w:style w:type="paragraph" w:styleId="Footer">
    <w:name w:val="footer"/>
    <w:semiHidden/>
    <w:pPr>
      <w:jc w:val="center"/>
    </w:pPr>
    <w:rPr>
      <w:sz w:val="16"/>
    </w:rPr>
  </w:style>
  <w:style w:type="paragraph" w:customStyle="1" w:styleId="IFooter">
    <w:name w:val="IFooter"/>
    <w:semiHidden/>
    <w:pPr>
      <w:pBdr>
        <w:top w:val="single" w:sz="4" w:space="1" w:color="auto"/>
      </w:pBdr>
      <w:tabs>
        <w:tab w:val="right" w:pos="10206"/>
      </w:tabs>
      <w:spacing w:line="260" w:lineRule="atLeast"/>
    </w:pPr>
    <w:rPr>
      <w:i/>
      <w:snapToGrid w:val="0"/>
      <w:sz w:val="16"/>
      <w:lang w:eastAsia="en-US"/>
    </w:rPr>
  </w:style>
  <w:style w:type="paragraph" w:styleId="DocumentMap">
    <w:name w:val="Document Map"/>
    <w:basedOn w:val="Normal"/>
    <w:semiHidden/>
    <w:pPr>
      <w:shd w:val="clear" w:color="auto" w:fill="000080"/>
    </w:pPr>
    <w:rPr>
      <w:rFonts w:ascii="Tahoma" w:hAnsi="Tahoma"/>
    </w:rPr>
  </w:style>
  <w:style w:type="paragraph" w:customStyle="1" w:styleId="IAlphabetDivider">
    <w:name w:val="IAlphabetDivider"/>
    <w:pPr>
      <w:pageBreakBefore/>
      <w:suppressAutoHyphens/>
      <w:jc w:val="center"/>
      <w:outlineLvl w:val="1"/>
    </w:pPr>
    <w:rPr>
      <w:sz w:val="28"/>
    </w:rPr>
  </w:style>
  <w:style w:type="paragraph" w:customStyle="1" w:styleId="ITable">
    <w:name w:val="ITable"/>
    <w:pPr>
      <w:suppressAutoHyphens/>
      <w:jc w:val="center"/>
      <w:outlineLvl w:val="0"/>
    </w:pPr>
    <w:rPr>
      <w:b/>
      <w:sz w:val="32"/>
    </w:rPr>
  </w:style>
  <w:style w:type="paragraph" w:customStyle="1" w:styleId="IActName">
    <w:name w:val="IActName"/>
    <w:basedOn w:val="Normal"/>
    <w:pPr>
      <w:keepNext/>
      <w:suppressAutoHyphens/>
      <w:spacing w:before="240"/>
      <w:ind w:left="284" w:hanging="284"/>
      <w:outlineLvl w:val="2"/>
    </w:pPr>
    <w:rPr>
      <w:b/>
      <w:i/>
      <w:sz w:val="24"/>
    </w:rPr>
  </w:style>
  <w:style w:type="character" w:styleId="Hyperlink">
    <w:name w:val="Hyperlink"/>
    <w:basedOn w:val="DefaultParagraphFont"/>
    <w:semiHidden/>
    <w:rPr>
      <w:color w:val="0000FF"/>
      <w:u w:val="none"/>
    </w:rPr>
  </w:style>
  <w:style w:type="character" w:styleId="FollowedHyperlink">
    <w:name w:val="FollowedHyperlink"/>
    <w:basedOn w:val="DefaultParagraphFont"/>
    <w:semiHidden/>
    <w:rPr>
      <w:color w:val="800080"/>
      <w:u w:val="single"/>
    </w:rPr>
  </w:style>
  <w:style w:type="paragraph" w:customStyle="1" w:styleId="BuildTime">
    <w:name w:val="BuildTime"/>
    <w:pPr>
      <w:jc w:val="center"/>
    </w:pPr>
    <w:rPr>
      <w:sz w:val="24"/>
    </w:rPr>
  </w:style>
  <w:style w:type="paragraph" w:customStyle="1" w:styleId="Highlight">
    <w:name w:val="Highlight"/>
    <w:pPr>
      <w:spacing w:before="120" w:after="60"/>
      <w:ind w:left="284" w:hanging="284"/>
      <w:jc w:val="both"/>
    </w:pPr>
    <w:rPr>
      <w:sz w:val="28"/>
    </w:rPr>
  </w:style>
  <w:style w:type="paragraph" w:customStyle="1" w:styleId="Notes">
    <w:name w:val="Notes"/>
  </w:style>
  <w:style w:type="paragraph" w:customStyle="1" w:styleId="Table01Row">
    <w:name w:val="Table01Row"/>
    <w:qFormat/>
    <w:pPr>
      <w:spacing w:before="40" w:after="40"/>
    </w:pPr>
    <w:rPr>
      <w:sz w:val="18"/>
    </w:rPr>
  </w:style>
  <w:style w:type="paragraph" w:customStyle="1" w:styleId="Table01Hdr">
    <w:name w:val="Table01Hdr"/>
    <w:qFormat/>
    <w:pPr>
      <w:jc w:val="center"/>
    </w:pPr>
    <w:rPr>
      <w:b/>
    </w:rPr>
  </w:style>
  <w:style w:type="paragraph" w:customStyle="1" w:styleId="Table01Note">
    <w:name w:val="Table01Note"/>
    <w:qFormat/>
    <w:pPr>
      <w:keepNext/>
      <w:spacing w:before="80" w:after="40"/>
      <w:ind w:left="113"/>
    </w:pPr>
    <w:rPr>
      <w:sz w:val="18"/>
    </w:rPr>
  </w:style>
  <w:style w:type="paragraph" w:customStyle="1" w:styleId="Table01BNote">
    <w:name w:val="Table01BNote"/>
    <w:qFormat/>
    <w:pPr>
      <w:spacing w:before="40" w:after="40"/>
      <w:ind w:left="170" w:hanging="170"/>
    </w:pPr>
    <w:rPr>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Table 1 — Acts in force</vt:lpstr>
    </vt:vector>
  </TitlesOfParts>
  <LinksUpToDate>false</LinksUpToDate>
  <CharactersWithSpaces>1722</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 Acts in force</dc:title>
  <cp:revision>24</cp:revision>
  <cp:category/>
  <dc:creator>Tables Generator</dc:creator>
</cp:coreProperties>
</file>

<file path=docProps/custom.xml><?xml version="1.0" encoding="utf-8"?>
<Properties xmlns="http://schemas.openxmlformats.org/officeDocument/2006/custom-properties" xmlns:vt="http://schemas.openxmlformats.org/officeDocument/2006/docPropsVTypes">
  <property pid="2" name="Citation" fmtid="{D5CDD505-2E9C-101B-9397-08002B2CF9AE}">
    <vt:lpwstr>Health Practitioner Regulation National Law (Western Australia)</vt:lpwstr>
  </property>
  <property pid="3" name="IDAct" fmtid="{D5CDD505-2E9C-101B-9397-08002B2CF9AE}">
    <vt:lpwstr>147443</vt:lpwstr>
  </property>
  <property pid="4" name="ChangedDate" fmtid="{D5CDD505-2E9C-101B-9397-08002B2CF9AE}">
    <vt:lpwstr>20260422173645</vt:lpwstr>
  </property>
</Properties>
</file>