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K</w:t>
      </w:r>
    </w:p>
    <w:p>
      <w:pPr>
        <w:pStyle w:val="IActName"/>
      </w:pPr>
      <w:r>
        <w:rPr>
          <w:color w:val="FF0000"/>
        </w:rPr>
        <w:t>Keystart Act 2024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Treasurer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Keystart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Keystart Act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2024/044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13 Nov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Pt. 1 (but only s. 1 &amp; 2): 13 Nov 2024 (see s.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3‑5, Pt. 2 (other than s. 12‑14), Pt. 5, Pt. 7 (other than s. 47), Pt. 8 Div. 1 (other than s. 59(2)), 3, 4 &amp; 5 (other than s. 68): 14 Nov 2024 (see s. 2(b)(i)‑(v));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s. 12‑14, Pt. 3 &amp; 4, s. 47, Pt. 8 Div. 8: 1 Jul 2025 (see s. 2(c) and SL 2025/87 cl. 2(a));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8 Div. 6: 2 Jul 2025 (see s. 2(c) and SL 2025/87 cl. 2(b));</w:t>
            </w:r>
          </w:p>
          <w:p>
            <w:pPr>
              <w:pStyle w:val="Table01Row"/>
            </w:pPr>
            <w:r>
              <w:rPr>
                <w:color w:val="FF0000"/>
              </w:rPr>
              <w:t xml:space="preserve">Pt. 6, 59(2), Pt. 8 Div. 2, s. 68 &amp; Pt. 8 Div. 7: 19 Mar 2026 (see s. 2(c) and SL 2026/28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Help to Buy (Commonwealth Powers) Act 2025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2025/022</w:t>
            </w:r>
          </w:p>
        </w:tc>
        <w:tc>
          <w:p>
            <w:pPr>
              <w:pStyle w:val="Table01Row"/>
            </w:pPr>
            <w:r>
              <w:t>19 Dec 2025</w:t>
            </w:r>
          </w:p>
        </w:tc>
        <w:tc>
          <w:p>
            <w:pPr>
              <w:pStyle w:val="Table01Row"/>
            </w:pPr>
            <w:r>
              <w:rPr/>
              <w:t xml:space="preserve">19 Dec 2025 (see s.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Keystart Act 2024</vt:lpwstr>
  </property>
  <property pid="3" name="IDAct" fmtid="{D5CDD505-2E9C-101B-9397-08002B2CF9AE}">
    <vt:lpwstr>147463</vt:lpwstr>
  </property>
  <property pid="4" name="ChangedDate" fmtid="{D5CDD505-2E9C-101B-9397-08002B2CF9AE}">
    <vt:lpwstr>20260804143151</vt:lpwstr>
  </property>
</Properties>
</file>