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body>
    <w:p>
      <w:pPr>
        <w:pStyle w:val="IAlphabetDivider"/>
      </w:pPr>
      <w:r>
        <w:t>N</w:t>
      </w:r>
    </w:p>
    <w:p>
      <w:pPr>
        <w:pStyle w:val="IActName"/>
      </w:pPr>
      <w:r>
        <w:t>National Gas Access (Western Australia) Law</w:t>
      </w:r>
    </w:p>
    <w:p>
      <w:pPr>
        <w:pStyle w:val="Table01Note"/>
      </w:pPr>
      <w:r>
        <w:rPr/>
        <w:t xml:space="preserve">The National Gas Access (Western Australia) Law is the National Gas Law (as set out in the Schedule to the National Gas (South Australia) Act 2008 (SA)) as that law applies as a law of Western Australia under the National Gas Access (WA) Act 2009 s. 7(1).</w:t>
      </w:r>
      <w:r>
        <w:br/>
      </w:r>
      <w:r>
        <w:rPr/>
        <w:t xml:space="preserve">The date listed in the column headed ‘Assent’ is the day (1 Jan 2010) the National Gas Access (Western Australia) Law was adopted as a law of WA (see National Gas Access (WA) Act 2009 s. 2(b) and </w:t>
      </w:r>
      <w:r>
        <w:rPr>
          <w:i/>
        </w:rPr>
        <w:t xml:space="preserve">Gazette</w:t>
      </w:r>
      <w:r>
        <w:rPr/>
        <w:t xml:space="preserve"> 31 Dec 2009 p. 5327)</w:t>
      </w:r>
    </w:p>
    <w:tbl>
      <w:tblPr>
        <w:tblW w:w="0" w:type="auto"/>
        <w:tblLayout w:type="fixed"/>
        <w:jc w:val="center"/>
        <w:tblCellMar>
          <w:left w:w="80" w:type="dxa"/>
          <w:right w:w="80" w:type="dxa"/>
        </w:tblCellMar>
        <w:tblLook w:val="0000" w:firstRow="0" w:lastRow="0" w:firstColumn="0" w:lastColumn="0" w:noHBand="0" w:noVBand="0"/>
      </w:tblPr>
      <w:tblGrid>
        <w:gridCol w:w="4253"/>
        <w:gridCol w:w="1134"/>
        <w:gridCol w:w="1134"/>
        <w:gridCol w:w="3686"/>
      </w:tblGrid>
      <w:tr>
        <w:trPr>
          <w:cantSplit/>
        </w:trPr>
        <w:tc>
          <w:p>
            <w:pPr>
              <w:pStyle w:val="Table01Row"/>
            </w:pPr>
            <w:r>
              <w:rPr>
                <w:i/>
              </w:rPr>
              <w:t>National Gas Access (Western Australia) Law</w:t>
            </w:r>
          </w:p>
        </w:tc>
        <w:tc>
          <w:p>
            <w:pPr>
              <w:pStyle w:val="Table01Row"/>
            </w:pPr>
            <w:r>
              <w:t>‑</w:t>
            </w:r>
          </w:p>
        </w:tc>
        <w:tc>
          <w:p>
            <w:pPr>
              <w:pStyle w:val="Table01Row"/>
            </w:pPr>
            <w:r>
              <w:t>1 Jan 2010</w:t>
            </w:r>
          </w:p>
        </w:tc>
        <w:tc>
          <w:p>
            <w:pPr>
              <w:pStyle w:val="Table01Row"/>
            </w:pPr>
            <w:r>
              <w:rPr/>
              <w:t xml:space="preserve">1 Jan 2010 (see National Gas Access (WA) Act 2009 s. 2(b) and </w:t>
            </w:r>
            <w:r>
              <w:rPr>
                <w:i/>
              </w:rPr>
              <w:t xml:space="preserve">Gazette</w:t>
            </w:r>
            <w:r>
              <w:rPr/>
              <w:t xml:space="preserve"> 31 Dec 2009 p. 5327)</w:t>
            </w:r>
          </w:p>
        </w:tc>
      </w:tr>
      <w:tr>
        <w:trPr>
          <w:cantSplit/>
        </w:trPr>
        <w:tc>
          <w:p>
            <w:pPr>
              <w:pStyle w:val="Table01Row"/>
            </w:pPr>
            <w:r>
              <w:rPr>
                <w:i/>
              </w:rPr>
              <w:t>National Gas (South Australia) Act 2008</w:t>
            </w:r>
          </w:p>
        </w:tc>
        <w:tc>
          <w:p>
            <w:pPr>
              <w:pStyle w:val="Table01Row"/>
            </w:pPr>
            <w:r>
              <w:t>2008/019 (SA Act) (as modified by the National Gas Access (WA) Act 2009 Sch. 1)</w:t>
            </w:r>
          </w:p>
        </w:tc>
        <w:tc>
          <w:p>
            <w:pPr>
              <w:pStyle w:val="Table01Row"/>
            </w:pPr>
            <w:r>
              <w:t>1 Jan 2010</w:t>
            </w:r>
          </w:p>
        </w:tc>
        <w:tc>
          <w:p>
            <w:pPr>
              <w:pStyle w:val="Table01Row"/>
            </w:pPr>
            <w:r>
              <w:rPr/>
              <w:t xml:space="preserve">In SA: 1 Jul 2008 (see SA </w:t>
            </w:r>
            <w:r>
              <w:rPr>
                <w:i/>
              </w:rPr>
              <w:t xml:space="preserve">Gazette</w:t>
            </w:r>
            <w:r>
              <w:rPr/>
              <w:t xml:space="preserve"> 26 Jun 2008 p. 2553);</w:t>
            </w:r>
          </w:p>
          <w:p>
            <w:pPr>
              <w:pStyle w:val="Table01Row"/>
            </w:pPr>
            <w:r>
              <w:rPr/>
              <w:t xml:space="preserve">In WA: 1 Jan 2010 (see WA Act s. 2(b) and </w:t>
            </w:r>
            <w:r>
              <w:rPr>
                <w:i/>
              </w:rPr>
              <w:t xml:space="preserve">Gazette</w:t>
            </w:r>
            <w:r>
              <w:rPr/>
              <w:t xml:space="preserve"> 31 Dec 2009 p. 5327)</w:t>
            </w:r>
          </w:p>
        </w:tc>
      </w:tr>
      <w:tr>
        <w:trPr>
          <w:cantSplit/>
        </w:trPr>
        <w:tc>
          <w:p>
            <w:pPr>
              <w:pStyle w:val="Table01Row"/>
            </w:pPr>
            <w:r>
              <w:rPr>
                <w:i/>
              </w:rPr>
              <w:t>National Gas (South Australia) (National Gas Law—Australian Energy Market Operator) Amendment Act 2009</w:t>
            </w:r>
            <w:r>
              <w:t xml:space="preserve"> </w:t>
              <w:t>s. 6</w:t>
            </w:r>
          </w:p>
        </w:tc>
        <w:tc>
          <w:p>
            <w:pPr>
              <w:pStyle w:val="Table01Row"/>
            </w:pPr>
            <w:r>
              <w:t>2009/030 (SA Act)</w:t>
            </w:r>
          </w:p>
        </w:tc>
        <w:tc>
          <w:p>
            <w:pPr>
              <w:pStyle w:val="Table01Row"/>
            </w:pPr>
            <w:r>
              <w:t>1 Jan 2010</w:t>
            </w:r>
          </w:p>
        </w:tc>
        <w:tc>
          <w:p>
            <w:pPr>
              <w:pStyle w:val="Table01Row"/>
            </w:pPr>
            <w:r>
              <w:rPr/>
              <w:t xml:space="preserve">In SA: 1 Jul 2009 (see SA </w:t>
            </w:r>
            <w:r>
              <w:rPr>
                <w:i/>
              </w:rPr>
              <w:t xml:space="preserve">Gazette</w:t>
            </w:r>
            <w:r>
              <w:rPr/>
              <w:t xml:space="preserve"> 25 Jun 2008 p. 3000);</w:t>
            </w:r>
          </w:p>
          <w:p>
            <w:pPr>
              <w:pStyle w:val="Table01Row"/>
            </w:pPr>
            <w:r>
              <w:rPr/>
              <w:t xml:space="preserve">In WA: 1 Jan 2010 (see WA </w:t>
            </w:r>
            <w:r>
              <w:rPr>
                <w:i/>
              </w:rPr>
              <w:t xml:space="preserve">Gazette</w:t>
            </w:r>
            <w:r>
              <w:rPr/>
              <w:t xml:space="preserve"> 18 Dec 2009 p. 5167‑8)</w:t>
            </w:r>
          </w:p>
        </w:tc>
      </w:tr>
      <w:tr>
        <w:trPr>
          <w:cantSplit/>
        </w:trPr>
        <w:tc>
          <w:p>
            <w:pPr>
              <w:pStyle w:val="Table01Row"/>
            </w:pPr>
            <w:r>
              <w:rPr>
                <w:i/>
              </w:rPr>
              <w:t>Statutes Amendment (National Electricity and Gas Laws—Limited Merits Review) Act 2013</w:t>
            </w:r>
            <w:r>
              <w:t xml:space="preserve"> </w:t>
              <w:t>Pt. 3</w:t>
            </w:r>
          </w:p>
        </w:tc>
        <w:tc>
          <w:p>
            <w:pPr>
              <w:pStyle w:val="Table01Row"/>
            </w:pPr>
            <w:r>
              <w:t>2013/079 (SA Act)</w:t>
            </w:r>
          </w:p>
        </w:tc>
        <w:tc>
          <w:p>
            <w:pPr>
              <w:pStyle w:val="Table01Row"/>
            </w:pPr>
            <w:r>
              <w:t>1 Jan 2010</w:t>
            </w:r>
          </w:p>
        </w:tc>
        <w:tc>
          <w:p>
            <w:pPr>
              <w:pStyle w:val="Table01Row"/>
            </w:pPr>
            <w:r>
              <w:rPr/>
              <w:t xml:space="preserve">In SA: 19 Dec 2013 (see SA </w:t>
            </w:r>
            <w:r>
              <w:rPr>
                <w:i/>
              </w:rPr>
              <w:t xml:space="preserve">Gazette</w:t>
            </w:r>
            <w:r>
              <w:rPr/>
              <w:t xml:space="preserve"> 19 Dec 2013 p. 4927);</w:t>
            </w:r>
          </w:p>
          <w:p>
            <w:pPr>
              <w:pStyle w:val="Table01Row"/>
            </w:pPr>
            <w:r>
              <w:rPr/>
              <w:t xml:space="preserve">In WA: 15 Mar 2014 (see WA </w:t>
            </w:r>
            <w:r>
              <w:rPr>
                <w:i/>
              </w:rPr>
              <w:t xml:space="preserve">Gazette</w:t>
            </w:r>
            <w:r>
              <w:rPr/>
              <w:t xml:space="preserve"> 14 Mar 2014 p. 632)</w:t>
            </w:r>
          </w:p>
        </w:tc>
      </w:tr>
      <w:tr>
        <w:trPr>
          <w:cantSplit/>
        </w:trPr>
        <w:tc>
          <w:p>
            <w:pPr>
              <w:pStyle w:val="Table01Row"/>
            </w:pPr>
            <w:r>
              <w:rPr>
                <w:i/>
              </w:rPr>
              <w:t>National Gas (South Australia) (Pipelines Access—Arbitration) Amendment Act 2017</w:t>
            </w:r>
          </w:p>
        </w:tc>
        <w:tc>
          <w:p>
            <w:pPr>
              <w:pStyle w:val="Table01Row"/>
            </w:pPr>
            <w:r>
              <w:t>2017/023 (SA Act)</w:t>
            </w:r>
          </w:p>
        </w:tc>
        <w:tc>
          <w:p>
            <w:pPr>
              <w:pStyle w:val="Table01Row"/>
            </w:pPr>
            <w:r>
              <w:t>1 Jan 2010</w:t>
            </w:r>
          </w:p>
        </w:tc>
        <w:tc>
          <w:p>
            <w:pPr>
              <w:pStyle w:val="Table01Row"/>
            </w:pPr>
            <w:r>
              <w:rPr/>
              <w:t xml:space="preserve">In SA: 1 Aug 2017 (see SA </w:t>
            </w:r>
            <w:r>
              <w:rPr>
                <w:i/>
              </w:rPr>
              <w:t xml:space="preserve">Gazette</w:t>
            </w:r>
            <w:r>
              <w:rPr/>
              <w:t xml:space="preserve"> 1 Aug 2017 p. 3037);</w:t>
            </w:r>
          </w:p>
          <w:p>
            <w:pPr>
              <w:pStyle w:val="Table01Row"/>
            </w:pPr>
            <w:r>
              <w:rPr/>
              <w:t xml:space="preserve">In WA: 23 Dec 2017 (see WA </w:t>
            </w:r>
            <w:r>
              <w:rPr>
                <w:i/>
              </w:rPr>
              <w:t xml:space="preserve">Gazette</w:t>
            </w:r>
            <w:r>
              <w:rPr/>
              <w:t xml:space="preserve"> 22 Dec 2017 p. 5984)</w:t>
            </w:r>
          </w:p>
        </w:tc>
      </w:tr>
      <w:tr>
        <w:trPr>
          <w:cantSplit/>
        </w:trPr>
        <w:tc>
          <w:p>
            <w:pPr>
              <w:pStyle w:val="Table01Row"/>
            </w:pPr>
            <w:r>
              <w:rPr>
                <w:i/>
              </w:rPr>
              <w:t>Statutes Amendment (National Energy Laws) (Rules) Act 2018</w:t>
            </w:r>
          </w:p>
        </w:tc>
        <w:tc>
          <w:p>
            <w:pPr>
              <w:pStyle w:val="Table01Row"/>
            </w:pPr>
            <w:r>
              <w:t>2018/012 (SA Act)</w:t>
            </w:r>
          </w:p>
        </w:tc>
        <w:tc>
          <w:p>
            <w:pPr>
              <w:pStyle w:val="Table01Row"/>
            </w:pPr>
            <w:r>
              <w:t>1 Jan 2010</w:t>
            </w:r>
          </w:p>
        </w:tc>
        <w:tc>
          <w:p>
            <w:pPr>
              <w:pStyle w:val="Table01Row"/>
            </w:pPr>
            <w:r>
              <w:rPr/>
              <w:t xml:space="preserve">In SA: 20 Sep 2018 (see SA </w:t>
            </w:r>
            <w:r>
              <w:rPr>
                <w:i/>
              </w:rPr>
              <w:t xml:space="preserve">Gazette</w:t>
            </w:r>
            <w:r>
              <w:rPr/>
              <w:t xml:space="preserve"> 20 Sep 2018 p. 3500);</w:t>
            </w:r>
          </w:p>
          <w:p>
            <w:pPr>
              <w:pStyle w:val="Table01Row"/>
            </w:pPr>
            <w:r>
              <w:rPr/>
              <w:t xml:space="preserve">In WA: 10 Oct 2020 (see SL 2020/195 cl. 2(b))</w:t>
            </w:r>
          </w:p>
        </w:tc>
      </w:tr>
      <w:tr>
        <w:trPr>
          <w:cantSplit/>
        </w:trPr>
        <w:tc>
          <w:p>
            <w:pPr>
              <w:pStyle w:val="Table01Row"/>
            </w:pPr>
            <w:r>
              <w:rPr>
                <w:i/>
              </w:rPr>
              <w:t>Statutes Amendment (National Energy Laws) (Binding Rate of Return Instrument) Act 2018</w:t>
            </w:r>
            <w:r>
              <w:t xml:space="preserve"> </w:t>
              <w:t>Pt. 3</w:t>
            </w:r>
          </w:p>
        </w:tc>
        <w:tc>
          <w:p>
            <w:pPr>
              <w:pStyle w:val="Table01Row"/>
            </w:pPr>
            <w:r>
              <w:t>2018/033 (SA Act)</w:t>
            </w:r>
          </w:p>
        </w:tc>
        <w:tc>
          <w:p>
            <w:pPr>
              <w:pStyle w:val="Table01Row"/>
            </w:pPr>
            <w:r>
              <w:t>1 Jan 2010</w:t>
            </w:r>
          </w:p>
        </w:tc>
        <w:tc>
          <w:p>
            <w:pPr>
              <w:pStyle w:val="Table01Row"/>
            </w:pPr>
            <w:r>
              <w:rPr/>
              <w:t xml:space="preserve">In SA: 13 Dec 2018 (see SA </w:t>
            </w:r>
            <w:r>
              <w:rPr>
                <w:i/>
              </w:rPr>
              <w:t xml:space="preserve">Gazette</w:t>
            </w:r>
            <w:r>
              <w:rPr/>
              <w:t xml:space="preserve"> 13 Dec 2018 p. 4272);</w:t>
            </w:r>
          </w:p>
          <w:p>
            <w:pPr>
              <w:pStyle w:val="Table01Row"/>
            </w:pPr>
            <w:r>
              <w:rPr/>
              <w:t xml:space="preserve">In WA: 6 Apr 2019 (see WA </w:t>
            </w:r>
            <w:r>
              <w:rPr>
                <w:i/>
              </w:rPr>
              <w:t xml:space="preserve">Gazette</w:t>
            </w:r>
            <w:r>
              <w:rPr/>
              <w:t xml:space="preserve"> 5 Apr 2019 p. 1007)</w:t>
            </w:r>
          </w:p>
        </w:tc>
      </w:tr>
      <w:tr>
        <w:trPr>
          <w:cantSplit/>
        </w:trPr>
        <w:tc>
          <w:p>
            <w:pPr>
              <w:pStyle w:val="Table01Row"/>
            </w:pPr>
            <w:r>
              <w:rPr>
                <w:i/>
              </w:rPr>
              <w:t>Statutes Amendment (National Energy Laws) (Penalties and Enforcement) Act 2020</w:t>
            </w:r>
            <w:r>
              <w:t xml:space="preserve"> </w:t>
              <w:t>Pt. 4 (other than s. 55‑60)</w:t>
            </w:r>
          </w:p>
        </w:tc>
        <w:tc>
          <w:p>
            <w:pPr>
              <w:pStyle w:val="Table01Row"/>
            </w:pPr>
            <w:r>
              <w:t>2020/037 (SA Act)</w:t>
            </w:r>
          </w:p>
        </w:tc>
        <w:tc>
          <w:p>
            <w:pPr>
              <w:pStyle w:val="Table01Row"/>
            </w:pPr>
            <w:r>
              <w:t>1 Jan 2010</w:t>
            </w:r>
          </w:p>
        </w:tc>
        <w:tc>
          <w:p>
            <w:pPr>
              <w:pStyle w:val="Table01Row"/>
            </w:pPr>
            <w:r>
              <w:rPr/>
              <w:t xml:space="preserve">In SA: 29 Jan 2021 (see SA </w:t>
            </w:r>
            <w:r>
              <w:rPr>
                <w:i/>
              </w:rPr>
              <w:t xml:space="preserve">Gazette</w:t>
            </w:r>
            <w:r>
              <w:rPr/>
              <w:t xml:space="preserve"> 27 Jan 2021 p. 163);</w:t>
            </w:r>
          </w:p>
          <w:p>
            <w:pPr>
              <w:pStyle w:val="Table01Row"/>
            </w:pPr>
            <w:r>
              <w:rPr/>
              <w:t xml:space="preserve">In WA: 5 Sep 2024 (see WA </w:t>
            </w:r>
            <w:r>
              <w:rPr>
                <w:i/>
              </w:rPr>
              <w:t xml:space="preserve">Gazette</w:t>
            </w:r>
            <w:r>
              <w:rPr/>
              <w:t xml:space="preserve"> 4 Sep 2024 p. 2215)</w:t>
            </w:r>
          </w:p>
        </w:tc>
      </w:tr>
      <w:tr>
        <w:trPr>
          <w:cantSplit/>
        </w:trPr>
        <w:tc>
          <w:p>
            <w:pPr>
              <w:pStyle w:val="Table01Row"/>
            </w:pPr>
            <w:r>
              <w:rPr>
                <w:i/>
              </w:rPr>
              <w:t>Statutes Amendment (National Energy Laws) (Omnibus) Act 2021</w:t>
            </w:r>
            <w:r>
              <w:t xml:space="preserve"> </w:t>
              <w:t>Pt. 5 (other than s. 41, 42, 49 51 and 53)</w:t>
            </w:r>
          </w:p>
        </w:tc>
        <w:tc>
          <w:p>
            <w:pPr>
              <w:pStyle w:val="Table01Row"/>
            </w:pPr>
            <w:r>
              <w:t>2021/003 (SA Act)</w:t>
            </w:r>
          </w:p>
        </w:tc>
        <w:tc>
          <w:p>
            <w:pPr>
              <w:pStyle w:val="Table01Row"/>
            </w:pPr>
            <w:r>
              <w:t>1 Jan 2010</w:t>
            </w:r>
          </w:p>
        </w:tc>
        <w:tc>
          <w:p>
            <w:pPr>
              <w:pStyle w:val="Table01Row"/>
            </w:pPr>
            <w:r>
              <w:rPr/>
              <w:t xml:space="preserve">In SA: 15 Apr 2021 (see SA </w:t>
            </w:r>
            <w:r>
              <w:rPr>
                <w:i/>
              </w:rPr>
              <w:t xml:space="preserve">Gazette</w:t>
            </w:r>
            <w:r>
              <w:rPr/>
              <w:t xml:space="preserve"> 15 Apr 2021 p. 1169);</w:t>
            </w:r>
          </w:p>
          <w:p>
            <w:pPr>
              <w:pStyle w:val="Table01Row"/>
            </w:pPr>
            <w:r>
              <w:rPr/>
              <w:t xml:space="preserve">In WA: 23 Jan 2025 (see WA </w:t>
            </w:r>
            <w:r>
              <w:rPr>
                <w:i/>
              </w:rPr>
              <w:t xml:space="preserve">Gazette</w:t>
            </w:r>
            <w:r>
              <w:rPr/>
              <w:t xml:space="preserve"> 22 Jan 2025 p. 63‑4)</w:t>
            </w:r>
          </w:p>
        </w:tc>
      </w:tr>
      <w:tr>
        <w:trPr>
          <w:cantSplit/>
        </w:trPr>
        <w:tc>
          <w:p>
            <w:pPr>
              <w:pStyle w:val="Table01Row"/>
            </w:pPr>
            <w:r>
              <w:rPr>
                <w:i/>
              </w:rPr>
              <w:t>Statutes Amendment (National Energy Laws) (Emissions Reduction Objectives) Act 2023</w:t>
            </w:r>
          </w:p>
        </w:tc>
        <w:tc>
          <w:p>
            <w:pPr>
              <w:pStyle w:val="Table01Row"/>
            </w:pPr>
            <w:r>
              <w:t>2023/026 (SA Act)</w:t>
            </w:r>
          </w:p>
        </w:tc>
        <w:tc>
          <w:p>
            <w:pPr>
              <w:pStyle w:val="Table01Row"/>
            </w:pPr>
            <w:r>
              <w:t>1 Jan 2010</w:t>
            </w:r>
          </w:p>
        </w:tc>
        <w:tc>
          <w:p>
            <w:pPr>
              <w:pStyle w:val="Table01Row"/>
            </w:pPr>
            <w:r>
              <w:rPr/>
              <w:t xml:space="preserve">In SA: 21 Sep 2023 (see s. 2);</w:t>
            </w:r>
          </w:p>
          <w:p>
            <w:pPr>
              <w:pStyle w:val="Table01Row"/>
            </w:pPr>
            <w:r>
              <w:rPr/>
              <w:t xml:space="preserve">In WA: 25 Jan 2024 (see WA </w:t>
            </w:r>
            <w:r>
              <w:rPr>
                <w:i/>
              </w:rPr>
              <w:t xml:space="preserve">Gazette</w:t>
            </w:r>
            <w:r>
              <w:rPr/>
              <w:t xml:space="preserve"> 24 Jan 2024 p. 91‑2)</w:t>
            </w:r>
          </w:p>
        </w:tc>
      </w:tr>
    </w:tbl>
    <w:sectPr>
      <w:headerReference w:type="even" r:id="rId8"/>
      <w:headerReference w:type="default" r:id="rId9"/>
      <w:footerReference w:type="even" r:id="rId10"/>
      <w:footerReference w:type="default" r:id="rId11"/>
      <w:pgSz w:w="11906" w:h="16838" w:code="9"/>
      <w:pgMar w:top="851" w:right="851" w:bottom="851" w:left="851" w:header="851" w:footer="85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IFooter"/>
    </w:pPr>
    <w:r>
      <w:fldChar w:fldCharType="begin"/>
    </w:r>
    <w:r>
      <w:instrText xml:space="preserve"> STYLEREF IActName \* CHARFORMAT</w:instrText>
    </w:r>
    <w:r>
      <w:fldChar w:fldCharType="separate"/>
    </w:r>
    <w:r>
      <w:rPr>
        <w:b/>
        <w:bCs/>
        <w:noProof/>
        <w:lang w:val="en-US"/>
      </w:rPr>
      <w:t>Error! No text of specified style in document.</w:t>
    </w:r>
    <w:r>
      <w:fldChar w:fldCharType="end"/>
    </w:r>
  </w:p>
  <w:p>
    <w:pPr>
      <w:pStyle w:val="Footer"/>
    </w:pPr>
    <w:r>
      <w:rPr>
        <w:sz w:val="18"/>
      </w:rPr>
      <w:t>1-</w:t>
    </w:r>
    <w:r>
      <w:fldChar w:fldCharType="begin"/>
    </w:r>
    <w:r>
      <w:instrText xml:space="preserve"> PAGE </w:instrText>
    </w:r>
    <w:r>
      <w:fldChar w:fldCharType="separate"/>
    </w:r>
    <w:r>
      <w:t>2</w:t>
    </w:r>
    <w:r>
      <w:fldChar w:fldCharType="end"/>
    </w: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IFooter"/>
      <w:rPr>
        <w:sz w:val="10"/>
      </w:rPr>
    </w:pPr>
    <w:r>
      <w:tab/>
    </w:r>
    <w:r>
      <w:fldChar w:fldCharType="begin"/>
    </w:r>
    <w:r>
      <w:instrText xml:space="preserve"> STYLEREF IActName \* CHARFORMAT</w:instrText>
    </w:r>
    <w:r>
      <w:fldChar w:fldCharType="separate"/>
    </w:r>
    <w:r>
      <w:rPr>
        <w:b/>
        <w:bCs/>
        <w:noProof/>
        <w:lang w:val="en-US"/>
      </w:rPr>
      <w:t>Error! No text of specified style in document.</w:t>
    </w:r>
    <w:r>
      <w:fldChar w:fldCharType="end"/>
    </w:r>
  </w:p>
  <w:p>
    <w:pPr>
      <w:pStyle w:val="Footer"/>
    </w:pPr>
    <w:r>
      <w:rPr>
        <w:sz w:val="18"/>
      </w:rPr>
      <w:t>1-</w:t>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tab/>
    </w:r>
    <w:r>
      <w:rPr>
        <w:b/>
      </w:rPr>
      <w:fldChar w:fldCharType="begin"/>
    </w:r>
    <w:r>
      <w:rPr>
        <w:b/>
      </w:rPr>
      <w:instrText xml:space="preserve"> STYLEREF  IAlphabetDivider </w:instrText>
    </w:r>
    <w:r>
      <w:rPr>
        <w:b/>
      </w:rPr>
      <w:fldChar w:fldCharType="separate"/>
    </w:r>
    <w:r>
      <w:rPr>
        <w:b/>
      </w:rPr>
      <w:t>Error! No text of specified style in document.</w:t>
    </w:r>
    <w:r>
      <w:rPr>
        <w:b/>
      </w:rPr>
      <w:fldChar w:fldCharType="end"/>
    </w:r>
    <w:r>
      <w:tab/>
      <w:t xml:space="preserve">Table 1 — Acts in force</w:t>
    </w:r>
  </w:p>
  <w:tbl>
    <w:tblPr>
      <w:tblW w:w="0" w:type="auto"/>
      <w:jc w:val="center"/>
      <w:tblLayout w:type="fixed"/>
      <w:tblCellMar>
        <w:left w:w="28" w:type="dxa"/>
        <w:right w:w="28" w:type="dxa"/>
      </w:tblCellMar>
      <w:tblLook w:val="0000" w:firstRow="0" w:lastRow="0" w:firstColumn="0" w:lastColumn="0" w:noHBand="0" w:noVBand="0"/>
    </w:tblPr>
    <w:tblGrid>
      <w:gridCol w:w="3828"/>
      <w:gridCol w:w="1559"/>
      <w:gridCol w:w="1134"/>
      <w:gridCol w:w="3686"/>
    </w:tblGrid>
    <w:tr>
      <w:trPr>
        <w:cantSplit/>
        <w:trHeight w:val="510"/>
        <w:jc w:val="center"/>
      </w:trPr>
      <w:tc>
        <w:tcPr>
          <w:tcBorders>
            <w:top w:val="single" w:sz="4" w:space="0" w:color="auto"/>
            <w:bottom w:val="single" w:sz="4" w:space="0" w:color="auto"/>
          </w:tcBorders>
          <w:vAlign w:val="center"/>
        </w:tcPr>
        <w:p>
          <w:pPr>
            <w:pStyle w:val="Table01Hdr"/>
          </w:pPr>
          <w:r>
            <w:t>Act</w:t>
          </w:r>
        </w:p>
      </w:tc>
      <w:tc>
        <w:tcPr>
          <w:tcBorders>
            <w:top w:val="single" w:sz="4" w:space="0" w:color="auto"/>
            <w:bottom w:val="single" w:sz="4" w:space="0" w:color="auto"/>
          </w:tcBorders>
          <w:vAlign w:val="center"/>
        </w:tcPr>
        <w:p>
          <w:pPr>
            <w:pStyle w:val="Table01Hdr"/>
          </w:pPr>
          <w:r>
            <w:t>Year/Number</w:t>
          </w:r>
        </w:p>
      </w:tc>
      <w:tc>
        <w:tcPr>
          <w:tcBorders>
            <w:top w:val="single" w:sz="4" w:space="0" w:color="auto"/>
            <w:bottom w:val="single" w:sz="4" w:space="0" w:color="auto"/>
          </w:tcBorders>
          <w:vAlign w:val="center"/>
        </w:tcPr>
        <w:p>
          <w:pPr>
            <w:pStyle w:val="Table01Hdr"/>
          </w:pPr>
          <w:r>
            <w:t>Assent</w:t>
          </w:r>
        </w:p>
      </w:tc>
      <w:tc>
        <w:tcPr>
          <w:tcBorders>
            <w:top w:val="single" w:sz="4" w:space="0" w:color="auto"/>
            <w:bottom w:val="single" w:sz="4" w:space="0" w:color="auto"/>
          </w:tcBorders>
          <w:vAlign w:val="center"/>
        </w:tcPr>
        <w:p>
          <w:pPr>
            <w:pStyle w:val="Table01Hdr"/>
          </w:pPr>
          <w:r>
            <w:t>Commencement</w:t>
          </w:r>
        </w:p>
      </w:tc>
    </w:tr>
    <w:tr>
      <w:trPr>
        <w:cantSplit/>
        <w:jc w:val="center"/>
      </w:trPr>
      <w:tc>
        <w:tcPr/>
        <w:p/>
      </w:tc>
      <w:tc>
        <w:tcPr/>
        <w:p/>
      </w:tc>
      <w:tc>
        <w:tcPr/>
        <w:p/>
      </w:tc>
      <w:tc>
        <w:tcPr/>
        <w:p/>
      </w:tc>
    </w:tr>
  </w:tbl>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tab/>
    </w:r>
    <w:r>
      <w:tab/>
      <w:t xml:space="preserve">Table 1 — Acts in force</w:t>
    </w:r>
    <w:r>
      <w:tab/>
    </w:r>
    <w:r>
      <w:rPr>
        <w:b/>
      </w:rPr>
      <w:fldChar w:fldCharType="begin"/>
    </w:r>
    <w:r>
      <w:rPr>
        <w:b/>
      </w:rPr>
      <w:instrText xml:space="preserve"> STYLEREF  IAlphabetDivider </w:instrText>
    </w:r>
    <w:r>
      <w:rPr>
        <w:b/>
      </w:rPr>
      <w:fldChar w:fldCharType="separate"/>
    </w:r>
    <w:r>
      <w:rPr>
        <w:b/>
        <w:lang w:val="en-US"/>
      </w:rPr>
      <w:t>Error! No text of specified style in document.</w:t>
    </w:r>
    <w:r>
      <w:rPr>
        <w:b/>
      </w:rPr>
      <w:fldChar w:fldCharType="end"/>
    </w:r>
  </w:p>
  <w:tbl>
    <w:tblPr>
      <w:tblW w:w="0" w:type="auto"/>
      <w:jc w:val="center"/>
      <w:tblLayout w:type="fixed"/>
      <w:tblCellMar>
        <w:left w:w="28" w:type="dxa"/>
        <w:right w:w="28" w:type="dxa"/>
      </w:tblCellMar>
      <w:tblLook w:val="0000" w:firstRow="0" w:lastRow="0" w:firstColumn="0" w:lastColumn="0" w:noHBand="0" w:noVBand="0"/>
    </w:tblPr>
    <w:tblGrid>
      <w:gridCol w:w="3828"/>
      <w:gridCol w:w="1559"/>
      <w:gridCol w:w="1134"/>
      <w:gridCol w:w="3686"/>
    </w:tblGrid>
    <w:tr>
      <w:trPr>
        <w:cantSplit/>
        <w:trHeight w:val="510"/>
        <w:tblHeader/>
        <w:jc w:val="center"/>
      </w:trPr>
      <w:tc>
        <w:tcPr>
          <w:tcBorders>
            <w:top w:val="single" w:sz="4" w:space="0" w:color="auto"/>
            <w:bottom w:val="single" w:sz="4" w:space="0" w:color="auto"/>
          </w:tcBorders>
          <w:vAlign w:val="center"/>
        </w:tcPr>
        <w:p>
          <w:pPr>
            <w:pStyle w:val="Table01Hdr"/>
          </w:pPr>
          <w:r>
            <w:t>Act</w:t>
          </w:r>
        </w:p>
      </w:tc>
      <w:tc>
        <w:tcPr>
          <w:tcBorders>
            <w:top w:val="single" w:sz="4" w:space="0" w:color="auto"/>
            <w:bottom w:val="single" w:sz="4" w:space="0" w:color="auto"/>
          </w:tcBorders>
          <w:vAlign w:val="center"/>
        </w:tcPr>
        <w:p>
          <w:pPr>
            <w:pStyle w:val="Table01Hdr"/>
          </w:pPr>
          <w:r>
            <w:t>Year/Number</w:t>
          </w:r>
        </w:p>
      </w:tc>
      <w:tc>
        <w:tcPr>
          <w:tcBorders>
            <w:top w:val="single" w:sz="4" w:space="0" w:color="auto"/>
            <w:bottom w:val="single" w:sz="4" w:space="0" w:color="auto"/>
          </w:tcBorders>
          <w:vAlign w:val="center"/>
        </w:tcPr>
        <w:p>
          <w:pPr>
            <w:pStyle w:val="Table01Hdr"/>
          </w:pPr>
          <w:r>
            <w:t>Assent</w:t>
          </w:r>
        </w:p>
      </w:tc>
      <w:tc>
        <w:tcPr>
          <w:tcBorders>
            <w:top w:val="single" w:sz="4" w:space="0" w:color="auto"/>
            <w:bottom w:val="single" w:sz="4" w:space="0" w:color="auto"/>
          </w:tcBorders>
          <w:vAlign w:val="center"/>
        </w:tcPr>
        <w:p>
          <w:pPr>
            <w:pStyle w:val="Table01Hdr"/>
          </w:pPr>
          <w:r>
            <w:t>Commencement</w:t>
          </w:r>
        </w:p>
      </w:tc>
    </w:tr>
    <w:tr>
      <w:trPr>
        <w:cantSplit/>
        <w:jc w:val="center"/>
      </w:trPr>
      <w:tc>
        <w:tcPr/>
        <w:p/>
      </w:tc>
      <w:tc>
        <w:tcPr/>
        <w:p/>
      </w:tc>
      <w:tc>
        <w:tcPr/>
        <w:p/>
      </w:tc>
      <w:tc>
        <w:tc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C6A9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EA9D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76F2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426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6AE1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864E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32B9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02A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2246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22F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411BE1"/>
    <w:multiLevelType w:val="singleLevel"/>
    <w:tmpl w:val="94B8C984"/>
    <w:lvl w:ilvl="0">
      <w:start w:val="7"/>
      <w:numFmt w:val="decimal"/>
      <w:lvlText w:val="%1"/>
      <w:lvlJc w:val="left"/>
      <w:pPr>
        <w:tabs>
          <w:tab w:val="num" w:pos="450"/>
        </w:tabs>
        <w:ind w:left="450" w:hanging="450"/>
      </w:pPr>
      <w:rPr>
        <w:rFonts w:hint="default"/>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3A7538"/>
    <w:multiLevelType w:val="singleLevel"/>
    <w:tmpl w:val="47388A70"/>
    <w:lvl w:ilvl="0">
      <w:start w:val="5"/>
      <w:numFmt w:val="decimal"/>
      <w:lvlText w:val="(%1)"/>
      <w:lvlJc w:val="left"/>
      <w:pPr>
        <w:tabs>
          <w:tab w:val="num" w:pos="1620"/>
        </w:tabs>
        <w:ind w:left="1620" w:hanging="525"/>
      </w:pPr>
      <w:rPr>
        <w:rFonts w:hint="default"/>
      </w:rPr>
    </w:lvl>
  </w:abstractNum>
  <w:abstractNum w:abstractNumId="17" w15:restartNumberingAfterBreak="0">
    <w:nsid w:val="22FF52EB"/>
    <w:multiLevelType w:val="multilevel"/>
    <w:tmpl w:val="033A45D2"/>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7855774"/>
    <w:multiLevelType w:val="singleLevel"/>
    <w:tmpl w:val="97B47F60"/>
    <w:lvl w:ilvl="0">
      <w:start w:val="2"/>
      <w:numFmt w:val="decimal"/>
      <w:lvlText w:val="%1"/>
      <w:lvlJc w:val="left"/>
      <w:pPr>
        <w:tabs>
          <w:tab w:val="num" w:pos="450"/>
        </w:tabs>
        <w:ind w:left="450" w:hanging="45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77821B5A"/>
    <w:multiLevelType w:val="singleLevel"/>
    <w:tmpl w:val="FEEA0620"/>
    <w:lvl w:ilvl="0">
      <w:start w:val="5"/>
      <w:numFmt w:val="decimal"/>
      <w:lvlText w:val="%1"/>
      <w:lvlJc w:val="left"/>
      <w:pPr>
        <w:tabs>
          <w:tab w:val="num" w:pos="465"/>
        </w:tabs>
        <w:ind w:left="465" w:hanging="465"/>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32"/>
  </w:num>
  <w:num w:numId="11">
    <w:abstractNumId w:val="16"/>
  </w:num>
  <w:num w:numId="12">
    <w:abstractNumId w:val="18"/>
  </w:num>
  <w:num w:numId="13">
    <w:abstractNumId w:val="11"/>
  </w:num>
  <w:num w:numId="14">
    <w:abstractNumId w:val="2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AU" w:vendorID="8" w:dllVersion="513" w:checkStyle="1"/>
  <w:activeWritingStyle w:appName="MSWord" w:lang="en-US" w:vendorID="8" w:dllVersion="513" w:checkStyle="1"/>
  <w:proofState w:spelling="clean" w:grammar="clean"/>
  <w:defaultTabStop w:val="720"/>
  <w:hyphenationZone w:val="863"/>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61"/>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C21DF542-39DD-4A5F-8DB7-8839CA79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semiHidden/>
    <w:pPr>
      <w:tabs>
        <w:tab w:val="left" w:pos="284"/>
        <w:tab w:val="center" w:pos="5103"/>
        <w:tab w:val="right" w:pos="9923"/>
      </w:tabs>
      <w:spacing w:after="80"/>
    </w:pPr>
  </w:style>
  <w:style w:type="paragraph" w:styleId="Footer">
    <w:name w:val="footer"/>
    <w:semiHidden/>
    <w:pPr>
      <w:jc w:val="center"/>
    </w:pPr>
    <w:rPr>
      <w:sz w:val="16"/>
    </w:rPr>
  </w:style>
  <w:style w:type="paragraph" w:customStyle="1" w:styleId="IFooter">
    <w:name w:val="IFooter"/>
    <w:semiHidden/>
    <w:pPr>
      <w:pBdr>
        <w:top w:val="single" w:sz="4" w:space="1" w:color="auto"/>
      </w:pBdr>
      <w:tabs>
        <w:tab w:val="right" w:pos="10206"/>
      </w:tabs>
      <w:spacing w:line="260" w:lineRule="atLeast"/>
    </w:pPr>
    <w:rPr>
      <w:i/>
      <w:snapToGrid w:val="0"/>
      <w:sz w:val="16"/>
      <w:lang w:eastAsia="en-US"/>
    </w:rPr>
  </w:style>
  <w:style w:type="paragraph" w:styleId="DocumentMap">
    <w:name w:val="Document Map"/>
    <w:basedOn w:val="Normal"/>
    <w:semiHidden/>
    <w:pPr>
      <w:shd w:val="clear" w:color="auto" w:fill="000080"/>
    </w:pPr>
    <w:rPr>
      <w:rFonts w:ascii="Tahoma" w:hAnsi="Tahoma"/>
    </w:rPr>
  </w:style>
  <w:style w:type="paragraph" w:customStyle="1" w:styleId="IAlphabetDivider">
    <w:name w:val="IAlphabetDivider"/>
    <w:pPr>
      <w:pageBreakBefore/>
      <w:suppressAutoHyphens/>
      <w:jc w:val="center"/>
      <w:outlineLvl w:val="1"/>
    </w:pPr>
    <w:rPr>
      <w:sz w:val="28"/>
    </w:rPr>
  </w:style>
  <w:style w:type="paragraph" w:customStyle="1" w:styleId="ITable">
    <w:name w:val="ITable"/>
    <w:pPr>
      <w:suppressAutoHyphens/>
      <w:jc w:val="center"/>
      <w:outlineLvl w:val="0"/>
    </w:pPr>
    <w:rPr>
      <w:b/>
      <w:sz w:val="32"/>
    </w:rPr>
  </w:style>
  <w:style w:type="paragraph" w:customStyle="1" w:styleId="IActName">
    <w:name w:val="IActName"/>
    <w:basedOn w:val="Normal"/>
    <w:pPr>
      <w:keepNext/>
      <w:suppressAutoHyphens/>
      <w:spacing w:before="240"/>
      <w:ind w:left="284" w:hanging="284"/>
      <w:outlineLvl w:val="2"/>
    </w:pPr>
    <w:rPr>
      <w:b/>
      <w:i/>
      <w:sz w:val="24"/>
    </w:rPr>
  </w:style>
  <w:style w:type="character" w:styleId="Hyperlink">
    <w:name w:val="Hyperlink"/>
    <w:basedOn w:val="DefaultParagraphFont"/>
    <w:semiHidden/>
    <w:rPr>
      <w:color w:val="0000FF"/>
      <w:u w:val="none"/>
    </w:rPr>
  </w:style>
  <w:style w:type="character" w:styleId="FollowedHyperlink">
    <w:name w:val="FollowedHyperlink"/>
    <w:basedOn w:val="DefaultParagraphFont"/>
    <w:semiHidden/>
    <w:rPr>
      <w:color w:val="800080"/>
      <w:u w:val="single"/>
    </w:rPr>
  </w:style>
  <w:style w:type="paragraph" w:customStyle="1" w:styleId="BuildTime">
    <w:name w:val="BuildTime"/>
    <w:pPr>
      <w:jc w:val="center"/>
    </w:pPr>
    <w:rPr>
      <w:sz w:val="24"/>
    </w:rPr>
  </w:style>
  <w:style w:type="paragraph" w:customStyle="1" w:styleId="Highlight">
    <w:name w:val="Highlight"/>
    <w:pPr>
      <w:spacing w:before="120" w:after="60"/>
      <w:ind w:left="284" w:hanging="284"/>
      <w:jc w:val="both"/>
    </w:pPr>
    <w:rPr>
      <w:sz w:val="28"/>
    </w:rPr>
  </w:style>
  <w:style w:type="paragraph" w:customStyle="1" w:styleId="Notes">
    <w:name w:val="Notes"/>
  </w:style>
  <w:style w:type="paragraph" w:customStyle="1" w:styleId="Table01Row">
    <w:name w:val="Table01Row"/>
    <w:qFormat/>
    <w:pPr>
      <w:spacing w:before="40" w:after="40"/>
    </w:pPr>
    <w:rPr>
      <w:sz w:val="18"/>
    </w:rPr>
  </w:style>
  <w:style w:type="paragraph" w:customStyle="1" w:styleId="Table01Hdr">
    <w:name w:val="Table01Hdr"/>
    <w:qFormat/>
    <w:pPr>
      <w:jc w:val="center"/>
    </w:pPr>
    <w:rPr>
      <w:b/>
    </w:rPr>
  </w:style>
  <w:style w:type="paragraph" w:customStyle="1" w:styleId="Table01Note">
    <w:name w:val="Table01Note"/>
    <w:qFormat/>
    <w:pPr>
      <w:keepNext/>
      <w:spacing w:before="80" w:after="40"/>
      <w:ind w:left="113"/>
    </w:pPr>
    <w:rPr>
      <w:sz w:val="18"/>
    </w:rPr>
  </w:style>
  <w:style w:type="paragraph" w:customStyle="1" w:styleId="Table01BNote">
    <w:name w:val="Table01BNote"/>
    <w:qFormat/>
    <w:pPr>
      <w:spacing w:before="40" w:after="40"/>
      <w:ind w:left="170" w:hanging="170"/>
    </w:pPr>
    <w:rPr>
      <w:b/>
      <w:sz w:val="1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Microsoft Office Word</Application>
  <DocSecurity>0</DocSecurity>
  <ScaleCrop>false</ScaleCrop>
  <HeadingPairs>
    <vt:vector size="2" baseType="variant">
      <vt:variant>
        <vt:lpstr>Title</vt:lpstr>
      </vt:variant>
      <vt:variant>
        <vt:i4>1</vt:i4>
      </vt:variant>
    </vt:vector>
  </HeadingPairs>
  <TitlesOfParts>
    <vt:vector size="1" baseType="lpstr">
      <vt:lpstr>Table 1 — Acts in force</vt:lpstr>
    </vt:vector>
  </TitlesOfParts>
  <LinksUpToDate>false</LinksUpToDate>
  <CharactersWithSpaces>1722</CharactersWithSpaces>
  <SharedDoc>false</SharedDoc>
  <HLinks>
    <vt:vector size="6" baseType="variant">
      <vt:variant>
        <vt:i4>65542</vt:i4>
      </vt:variant>
      <vt:variant>
        <vt:i4>-1</vt:i4>
      </vt:variant>
      <vt:variant>
        <vt:i4>1027</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 Acts in force</dc:title>
  <cp:revision>24</cp:revision>
  <cp:category/>
  <dc:creator>Tables Generator</dc:creator>
</cp:coreProperties>
</file>

<file path=docProps/custom.xml><?xml version="1.0" encoding="utf-8"?>
<Properties xmlns="http://schemas.openxmlformats.org/officeDocument/2006/custom-properties" xmlns:vt="http://schemas.openxmlformats.org/officeDocument/2006/docPropsVTypes">
  <property pid="2" name="Citation" fmtid="{D5CDD505-2E9C-101B-9397-08002B2CF9AE}">
    <vt:lpwstr>National Gas Access (Western Australia) Law</vt:lpwstr>
  </property>
  <property pid="3" name="IDAct" fmtid="{D5CDD505-2E9C-101B-9397-08002B2CF9AE}">
    <vt:lpwstr>147481</vt:lpwstr>
  </property>
  <property pid="4" name="ChangedDate" fmtid="{D5CDD505-2E9C-101B-9397-08002B2CF9AE}">
    <vt:lpwstr>20260128162409</vt:lpwstr>
  </property>
</Properties>
</file>