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E</w:t>
      </w:r>
    </w:p>
    <w:p>
      <w:pPr>
        <w:pStyle w:val="IActName"/>
      </w:pPr>
      <w:r>
        <w:rPr>
          <w:color w:val="FF0000"/>
        </w:rPr>
        <w:t>Evidence Act 2025</w:t>
      </w:r>
    </w:p>
    <w:tbl>
      <w:tblPr>
        <w:tblW w:w="0" w:type="auto"/>
        <w:tblLayout w:type="fixed"/>
        <w:jc w:val="center"/>
        <w:tblCellMar>
          <w:left w:w="0" w:type="dxa"/>
          <w:right w:w="0" w:type="dxa"/>
        </w:tblCellMar>
        <w:tblLook w:val="0000" w:firstRow="0" w:lastRow="0" w:firstColumn="0" w:lastColumn="0" w:noHBand="0" w:noVBand="0"/>
      </w:tblPr>
      <w:tblGrid>
        <w:gridCol w:w="1134"/>
        <w:gridCol w:w="8505"/>
      </w:tblGrid>
      <w:tr>
        <w:trPr>
          <w:cantSplit/>
        </w:trPr>
        <w:tc>
          <w:p>
            <w:pPr>
              <w:pStyle w:val="Table01Row"/>
              <w:keepNext/>
            </w:pPr>
            <w:r>
              <w:rPr>
                <w:b/>
              </w:rPr>
              <w:t>Portfolio:</w:t>
            </w:r>
          </w:p>
        </w:tc>
        <w:tc>
          <w:p>
            <w:pPr>
              <w:pStyle w:val="Table01Row"/>
              <w:keepNext/>
            </w:pPr>
            <w:r>
              <w:t>Attorney General</w:t>
            </w:r>
          </w:p>
        </w:tc>
      </w:tr>
      <w:tr>
        <w:trPr>
          <w:cantSplit/>
        </w:trPr>
        <w:tc>
          <w:p>
            <w:pPr>
              <w:pStyle w:val="Table01Row"/>
              <w:keepNext/>
            </w:pPr>
            <w:r>
              <w:rPr>
                <w:b/>
              </w:rPr>
              <w:t>Agency:</w:t>
            </w:r>
          </w:p>
        </w:tc>
        <w:tc>
          <w:p>
            <w:pPr>
              <w:pStyle w:val="Table01Row"/>
              <w:keepNext/>
            </w:pPr>
            <w:r>
              <w:t>Department of Justice</w:t>
            </w:r>
          </w:p>
        </w:tc>
      </w:tr>
    </w:tbl>
    <w:p>
      <w:pPr>
        <w:keepNext/>
      </w:pP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color w:val="FF0000"/>
              </w:rPr>
              <w:t>Evidence Act 2025</w:t>
            </w:r>
          </w:p>
        </w:tc>
        <w:tc>
          <w:p>
            <w:pPr>
              <w:pStyle w:val="Table01Row"/>
            </w:pPr>
            <w:r>
              <w:rPr>
                <w:color w:val="FF0000"/>
              </w:rPr>
              <w:t>2025/015</w:t>
            </w:r>
          </w:p>
        </w:tc>
        <w:tc>
          <w:p>
            <w:pPr>
              <w:pStyle w:val="Table01Row"/>
            </w:pPr>
            <w:r>
              <w:rPr>
                <w:color w:val="FF0000"/>
              </w:rPr>
              <w:t>25 Sep 2025</w:t>
            </w:r>
          </w:p>
        </w:tc>
        <w:tc>
          <w:p>
            <w:pPr>
              <w:pStyle w:val="Table01Row"/>
            </w:pPr>
            <w:r>
              <w:rPr>
                <w:color w:val="FF0000"/>
              </w:rPr>
              <w:t xml:space="preserve">Pt. 1: 25 Sep 2025 (see s. 2(a));</w:t>
            </w:r>
          </w:p>
          <w:p>
            <w:pPr>
              <w:pStyle w:val="Table01Row"/>
            </w:pPr>
            <w:r>
              <w:rPr>
                <w:color w:val="FF0000"/>
              </w:rPr>
              <w:t xml:space="preserve">Pt. 10 (but only s. 384): 26 Sep 2025 (see s. 2(b));</w:t>
            </w:r>
          </w:p>
          <w:p>
            <w:pPr>
              <w:pStyle w:val="Table01Row"/>
            </w:pPr>
            <w:r>
              <w:rPr>
                <w:color w:val="FF0000"/>
              </w:rPr>
              <w:t xml:space="preserve">Pt. 12 Div. 1: operative immediately after the Aquatic Resources Management Act 2016 s. 240 comes into operation (see s. 2(c)(ii));</w:t>
            </w:r>
          </w:p>
          <w:p>
            <w:pPr>
              <w:pStyle w:val="Table01Row"/>
            </w:pPr>
            <w:r>
              <w:rPr>
                <w:color w:val="FF0000"/>
              </w:rPr>
              <w:t xml:space="preserve">Pt. 12 Div. 8, will not come into operation, as the section it purported to amend was deleted by the Control of Vehicles (Off‑road Areas) Amendment Act 2025 s. 4(1) on 28 Jun 2026 (see s. 2(c) and SL 2026/99 cl. 2);</w:t>
            </w:r>
          </w:p>
          <w:p>
            <w:pPr>
              <w:pStyle w:val="Table01Row"/>
            </w:pPr>
            <w:r>
              <w:rPr>
                <w:color w:val="FF0000"/>
              </w:rPr>
              <w:t xml:space="preserve">s. 492(1) Table which amends the Liquor Control Act 1988 s. 16(7), will not come into operation, as the subsection it purported to amend was deleted by the Liquor Control Amendment Act 2025 s. 70 on 1 Jul 2026 (see s. 2(c) and SL 2026/87 cl. 2);</w:t>
            </w:r>
          </w:p>
          <w:p>
            <w:pPr>
              <w:pStyle w:val="Table01Row"/>
            </w:pPr>
            <w:r>
              <w:rPr>
                <w:color w:val="FF0000"/>
              </w:rPr>
              <w:t xml:space="preserve">s. 492(2) Table which amends the Finance Brokers Control Act 1975, will not come into operation, as the Act it purported to amend was repealed by the Credit (Commonwealth Powers) (Transitional and Consequential Provisions) Act 2010 s. 80 on 6 Mar 2026 (see s. 2(b) and SL 2026/18 cl. 2);</w:t>
            </w:r>
          </w:p>
          <w:p>
            <w:pPr>
              <w:pStyle w:val="Table01Row"/>
            </w:pPr>
            <w:r>
              <w:rPr>
                <w:color w:val="FF0000"/>
              </w:rPr>
              <w:t xml:space="preserve">Pt. 2‑9, Pt. 10 (other than s. 384), Pt. 11 &amp; Pt. 12 Div. 2‑7 &amp; 9‑24: to be proclaimed (see s. 2(d)(i) &amp; (e))</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Evidence Act 2025</vt:lpwstr>
  </property>
  <property pid="3" name="IDAct" fmtid="{D5CDD505-2E9C-101B-9397-08002B2CF9AE}">
    <vt:lpwstr>147490</vt:lpwstr>
  </property>
  <property pid="4" name="ChangedDate" fmtid="{D5CDD505-2E9C-101B-9397-08002B2CF9AE}">
    <vt:lpwstr>20260909141842</vt:lpwstr>
  </property>
</Properties>
</file>