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rPr>
          <w:color w:val="FF0000"/>
        </w:rPr>
        <w:t>Assisted Reproductive Technology and Surrogacy Act 2025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Assisted Reproductive Technology and Surrogacy Act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2025/019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18 Dec 2025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 Div. 1: 18 Dec 2025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17 Div. 13: 1 Jul 2026 (see s. 2(b)(ii) and SL 2026/128 cl. 2(b)(i));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Act other than Pt. 1 Div. 1 &amp; Pt. 17 Div. 13: to be proclaimed (see s.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Assisted Reproductive Technology and Surrogacy Act 2025</vt:lpwstr>
  </property>
  <property pid="3" name="IDAct" fmtid="{D5CDD505-2E9C-101B-9397-08002B2CF9AE}">
    <vt:lpwstr>147498</vt:lpwstr>
  </property>
  <property pid="4" name="ChangedDate" fmtid="{D5CDD505-2E9C-101B-9397-08002B2CF9AE}">
    <vt:lpwstr>20260623175857</vt:lpwstr>
  </property>
</Properties>
</file>