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rPr>
          <w:color w:val="FF0000"/>
        </w:rPr>
        <w:t>State Development Act 2025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State Development Act 2025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2025/021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19 Dec 2025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1: 19 Dec 2025 (see s. 2(a));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Act other than Pt. 1 &amp; s. 115‑117: 19 Feb 2026 (see s. 2(e) and SL 2026/13 cl. 2);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115‑117: 28 May 2026 (see s. 2(b)‑(d) and SL 2026/70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State Development Act 2025</vt:lpwstr>
  </property>
  <property pid="3" name="IDAct" fmtid="{D5CDD505-2E9C-101B-9397-08002B2CF9AE}">
    <vt:lpwstr>147499</vt:lpwstr>
  </property>
  <property pid="4" name="ChangedDate" fmtid="{D5CDD505-2E9C-101B-9397-08002B2CF9AE}">
    <vt:lpwstr>20260804144846</vt:lpwstr>
  </property>
</Properties>
</file>