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Help to Buy (Commonwealth Powers) Act 2025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Help to Buy (Commonwealth Powers) Act 2025</w:t>
            </w:r>
          </w:p>
        </w:tc>
        <w:tc>
          <w:p>
            <w:pPr>
              <w:pStyle w:val="Table01Row"/>
            </w:pPr>
            <w:r>
              <w:t>2025/022</w:t>
            </w:r>
          </w:p>
        </w:tc>
        <w:tc>
          <w:p>
            <w:pPr>
              <w:pStyle w:val="Table01Row"/>
            </w:pPr>
            <w:r>
              <w:t>19 Dec 2025</w:t>
            </w:r>
          </w:p>
        </w:tc>
        <w:tc>
          <w:p>
            <w:pPr>
              <w:pStyle w:val="Table01Row"/>
            </w:pPr>
            <w:r>
              <w:rPr/>
              <w:t xml:space="preserve">19 Dec 2025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Help to Buy (Commonwealth Powers) Act 2025</vt:lpwstr>
  </property>
  <property pid="3" name="IDAct" fmtid="{D5CDD505-2E9C-101B-9397-08002B2CF9AE}">
    <vt:lpwstr>147500</vt:lpwstr>
  </property>
  <property pid="4" name="ChangedDate" fmtid="{D5CDD505-2E9C-101B-9397-08002B2CF9AE}">
    <vt:lpwstr>20260804143151</vt:lpwstr>
  </property>
</Properties>
</file>