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E</w:t>
      </w:r>
    </w:p>
    <w:p>
      <w:pPr>
        <w:pStyle w:val="IActName"/>
      </w:pPr>
      <w:r>
        <w:rPr>
          <w:color w:val="FF0000"/>
        </w:rPr>
        <w:t>Education and Care Services National Law Application Act 2026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Early Childhood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Communities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Education and Care Services National Law Application Act 2026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2026/002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31 Mar 2026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Pt. 1 (but only s. 1 &amp; 2): 31 Mar 2026 (see s. 2(1)(a));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Pt. 6 Div. 1: on the day on which 2024/051 Sch. 1 comes into operation (see s. 2(1)(b)(ii));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Pt. 6 Div. 2: if the Early Childhood Legislation Amendment (Child Safety) Act 2025 (Vic) has effect for the purposes of Pt. 2 under s. 7(2), on the last day on which a provision of that Act comes into operation under s. 8 (see s. 2(1)(c));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Act other than s. 1, 2 &amp; Pt. 6 Div. 1 &amp; 2: 1 May 2026 (see s. 2(1)(d) &amp; (2) and SL 2026/50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Education and Care Services National Law (WA)</w:t>
            </w:r>
            <w:r>
              <w:rPr>
                <w:color w:val="FF0000"/>
              </w:rP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‑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 May 2026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1 May 2026 (see s. 2(1)(d) and SL 2026/50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Education and Care Services National Law Application Act 2026</vt:lpwstr>
  </property>
  <property pid="3" name="IDAct" fmtid="{D5CDD505-2E9C-101B-9397-08002B2CF9AE}">
    <vt:lpwstr>147518</vt:lpwstr>
  </property>
  <property pid="4" name="ChangedDate" fmtid="{D5CDD505-2E9C-101B-9397-08002B2CF9AE}">
    <vt:lpwstr>20260717105013</vt:lpwstr>
  </property>
</Properties>
</file>