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Education and Care Services National Law (WA)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</w:t>
            </w:r>
          </w:p>
        </w:tc>
        <w:tc>
          <w:p>
            <w:pPr>
              <w:pStyle w:val="Table01Row"/>
            </w:pPr>
            <w:r>
              <w:t>‑</w:t>
            </w:r>
          </w:p>
        </w:tc>
        <w:tc>
          <w:p>
            <w:pPr>
              <w:pStyle w:val="Table01Row"/>
            </w:pPr>
            <w:r>
              <w:t>1 May 2026</w:t>
            </w:r>
          </w:p>
        </w:tc>
        <w:tc>
          <w:p>
            <w:pPr>
              <w:pStyle w:val="Table01Row"/>
            </w:pPr>
            <w:r>
              <w:rPr/>
              <w:t xml:space="preserve">1 May 2026 (see WA Act No. 2 of 2026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Education and Care Services National Law (WA)</vt:lpwstr>
  </property>
  <property pid="3" name="IDAct" fmtid="{D5CDD505-2E9C-101B-9397-08002B2CF9AE}">
    <vt:lpwstr>147519</vt:lpwstr>
  </property>
  <property pid="4" name="ChangedDate" fmtid="{D5CDD505-2E9C-101B-9397-08002B2CF9AE}">
    <vt:lpwstr>20260513135313</vt:lpwstr>
  </property>
</Properties>
</file>