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M</w:t>
      </w:r>
    </w:p>
    <w:p>
      <w:pPr>
        <w:pStyle w:val="IActName"/>
      </w:pPr>
      <w:r>
        <w:t>Marine Safety (Domestic Commercial Vessel) National Law (WA)</w:t>
      </w: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Marine Safety (Domestic Commercial Vessel) National Law (WA)</w:t>
            </w:r>
          </w:p>
        </w:tc>
        <w:tc>
          <w:p>
            <w:pPr>
              <w:pStyle w:val="Table01Row"/>
            </w:pPr>
            <w:r>
              <w:t>‑</w:t>
            </w:r>
          </w:p>
        </w:tc>
        <w:tc>
          <w:p>
            <w:pPr>
              <w:pStyle w:val="Table01Row"/>
            </w:pPr>
            <w:r>
              <w:t>16 Dec 2023</w:t>
            </w:r>
          </w:p>
        </w:tc>
        <w:tc>
          <w:p>
            <w:pPr>
              <w:pStyle w:val="Table01Row"/>
            </w:pPr>
            <w:r>
              <w:rPr/>
              <w:t xml:space="preserve">16 Dec 2023 (see WA Act No. 24 of 2023 s. 2(b) and SL 2023/190 cl. 2)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Marine Safety (Domestic Commercial Vessel) National Law (WA)</vt:lpwstr>
  </property>
  <property pid="3" name="IDAct" fmtid="{D5CDD505-2E9C-101B-9397-08002B2CF9AE}">
    <vt:lpwstr>147527</vt:lpwstr>
  </property>
  <property pid="4" name="ChangedDate" fmtid="{D5CDD505-2E9C-101B-9397-08002B2CF9AE}">
    <vt:lpwstr>20260706164408</vt:lpwstr>
  </property>
</Properties>
</file>