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Competition Policy Reform (Taxing) Act 1996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Competition Policy Reform (Taxing) Act 1996</w:t>
            </w:r>
          </w:p>
        </w:tc>
        <w:tc>
          <w:p>
            <w:pPr>
              <w:pStyle w:val="Table01Row"/>
            </w:pPr>
            <w:r>
              <w:t>1996/051</w:t>
            </w:r>
          </w:p>
        </w:tc>
        <w:tc>
          <w:p>
            <w:pPr>
              <w:pStyle w:val="Table01Row"/>
            </w:pPr>
            <w:r>
              <w:t>31 Oct 1996</w:t>
            </w:r>
          </w:p>
        </w:tc>
        <w:tc>
          <w:p>
            <w:pPr>
              <w:pStyle w:val="Table01Row"/>
            </w:pPr>
            <w:r>
              <w:rPr/>
              <w:t xml:space="preserve">21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5 Dec 2003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Competition Policy Reform (Taxing) Act 1996</vt:lpwstr>
  </property>
  <property pid="3" name="IDAct" fmtid="{D5CDD505-2E9C-101B-9397-08002B2CF9AE}">
    <vt:lpwstr>168</vt:lpwstr>
  </property>
  <property pid="4" name="ChangedDate" fmtid="{D5CDD505-2E9C-101B-9397-08002B2CF9AE}">
    <vt:lpwstr>20250404114309</vt:lpwstr>
  </property>
</Properties>
</file>