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Sea‑Carriage Documents Act 1997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Sea‑Carriage Documents Act 1997</w:t>
            </w:r>
          </w:p>
        </w:tc>
        <w:tc>
          <w:p>
            <w:pPr>
              <w:pStyle w:val="Table01Row"/>
            </w:pPr>
            <w:r>
              <w:t>1997/006</w:t>
            </w:r>
          </w:p>
        </w:tc>
        <w:tc>
          <w:p>
            <w:pPr>
              <w:pStyle w:val="Table01Row"/>
            </w:pPr>
            <w:r>
              <w:t>10 Jun 1997</w:t>
            </w:r>
          </w:p>
        </w:tc>
        <w:tc>
          <w:p>
            <w:pPr>
              <w:pStyle w:val="Table01Row"/>
            </w:pPr>
            <w:r>
              <w:rPr/>
              <w:t xml:space="preserve">s. 1 &amp; 2: 10 Jun 1997;</w:t>
            </w:r>
          </w:p>
          <w:p>
            <w:pPr>
              <w:pStyle w:val="Table01Row"/>
            </w:pPr>
            <w:r>
              <w:rPr/>
              <w:t xml:space="preserve">Act other than s. 1 &amp; 2: 1 Sep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Aug 1997 p. 4501)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28 Nov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108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Sea-Carriage Documents Act 1997</vt:lpwstr>
  </property>
  <property pid="3" name="IDAct" fmtid="{D5CDD505-2E9C-101B-9397-08002B2CF9AE}">
    <vt:lpwstr>1802</vt:lpwstr>
  </property>
  <property pid="4" name="ChangedDate" fmtid="{D5CDD505-2E9C-101B-9397-08002B2CF9AE}">
    <vt:lpwstr>20250402124410</vt:lpwstr>
  </property>
</Properties>
</file>