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Bank Mergers (Taxing) Act 1997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Mergers (Taxing) Act 1997</w:t>
            </w:r>
          </w:p>
        </w:tc>
        <w:tc>
          <w:p>
            <w:pPr>
              <w:pStyle w:val="Table01Row"/>
            </w:pPr>
            <w:r>
              <w:t>1997/009</w:t>
            </w:r>
          </w:p>
        </w:tc>
        <w:tc>
          <w:p>
            <w:pPr>
              <w:pStyle w:val="Table01Row"/>
            </w:pPr>
            <w:r>
              <w:t>23 Jun 1997</w:t>
            </w:r>
          </w:p>
        </w:tc>
        <w:tc>
          <w:p>
            <w:pPr>
              <w:pStyle w:val="Table01Row"/>
            </w:pPr>
            <w:r>
              <w:rPr/>
              <w:t xml:space="preserve">23 Jun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20 Feb 2004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Bank Mergers (Taxing) Act 1997</vt:lpwstr>
  </property>
  <property pid="3" name="IDAct" fmtid="{D5CDD505-2E9C-101B-9397-08002B2CF9AE}">
    <vt:lpwstr>1805</vt:lpwstr>
  </property>
  <property pid="4" name="ChangedDate" fmtid="{D5CDD505-2E9C-101B-9397-08002B2CF9AE}">
    <vt:lpwstr>20260804143151</vt:lpwstr>
  </property>
</Properties>
</file>