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C</w:t>
      </w:r>
    </w:p>
    <w:p>
      <w:pPr>
        <w:pStyle w:val="IActName"/>
      </w:pPr>
      <w:r>
        <w:t>Coogee‑Kwinana (Deviation) Railway Act 1961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Transport and Major Infrastructure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Public Transport Authority of Western Australia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Coogee‑Kwinana (Deviation) Railway Act 1961</w:t>
            </w:r>
          </w:p>
        </w:tc>
        <w:tc>
          <w:p>
            <w:pPr>
              <w:pStyle w:val="Table01Row"/>
            </w:pPr>
            <w:r>
              <w:t>1961/007 (10 Eliz. II No. 7)</w:t>
            </w:r>
          </w:p>
        </w:tc>
        <w:tc>
          <w:p>
            <w:pPr>
              <w:pStyle w:val="Table01Row"/>
            </w:pPr>
            <w:r>
              <w:t>10 Oct 1961</w:t>
            </w:r>
          </w:p>
        </w:tc>
        <w:tc>
          <w:p>
            <w:pPr>
              <w:pStyle w:val="Table01Row"/>
            </w:pPr>
            <w:r>
              <w:rPr/>
              <w:t xml:space="preserve">10 Oct 1961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2 Mar 2007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Standardisation of Formatting Act 2010</w:t>
            </w:r>
            <w:r>
              <w:t xml:space="preserve"> </w:t>
              <w:t>s. 5</w:t>
            </w:r>
          </w:p>
        </w:tc>
        <w:tc>
          <w:p>
            <w:pPr>
              <w:pStyle w:val="Table01Row"/>
            </w:pPr>
            <w:r>
              <w:t>2010/019</w:t>
            </w:r>
          </w:p>
        </w:tc>
        <w:tc>
          <w:p>
            <w:pPr>
              <w:pStyle w:val="Table01Row"/>
            </w:pPr>
            <w:r>
              <w:t>28 Jun 2010</w:t>
            </w:r>
          </w:p>
        </w:tc>
        <w:tc>
          <w:p>
            <w:pPr>
              <w:pStyle w:val="Table01Row"/>
            </w:pPr>
            <w:r>
              <w:rPr/>
              <w:t xml:space="preserve">11 Sep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10 Sep 2010 p. 4341)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Coogee-Kwinana (Deviation) Railway Act 1961</vt:lpwstr>
  </property>
  <property pid="3" name="IDAct" fmtid="{D5CDD505-2E9C-101B-9397-08002B2CF9AE}">
    <vt:lpwstr>180</vt:lpwstr>
  </property>
  <property pid="4" name="ChangedDate" fmtid="{D5CDD505-2E9C-101B-9397-08002B2CF9AE}">
    <vt:lpwstr>20260804143231</vt:lpwstr>
  </property>
</Properties>
</file>