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pStyle w:val="IAlphabetDivider"/>
      </w:pPr>
      <w:r>
        <w:t>B</w:t>
      </w:r>
    </w:p>
    <w:p>
      <w:pPr>
        <w:pStyle w:val="IActName"/>
      </w:pPr>
      <w:r>
        <w:t>Botanic Gardens and Parks Authority Act 1998</w:t>
      </w:r>
    </w:p>
    <w:tbl>
      <w:tblPr>
        <w:tblW w:w="0" w:type="auto"/>
        <w:tblLayout w:type="fixed"/>
        <w:jc w:val="center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134"/>
        <w:gridCol w:w="8505"/>
      </w:tblGrid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Portfolio:</w:t>
            </w:r>
          </w:p>
        </w:tc>
        <w:tc>
          <w:p>
            <w:pPr>
              <w:pStyle w:val="Table01Row"/>
              <w:keepNext/>
            </w:pPr>
            <w:r>
              <w:t>Minister for the Environment</w:t>
            </w:r>
          </w:p>
        </w:tc>
      </w:tr>
      <w:tr>
        <w:trPr>
          <w:cantSplit/>
        </w:trPr>
        <w:tc>
          <w:p>
            <w:pPr>
              <w:pStyle w:val="Table01Row"/>
              <w:keepNext/>
            </w:pPr>
            <w:r>
              <w:rPr>
                <w:b/>
              </w:rPr>
              <w:t>Agency:</w:t>
            </w:r>
          </w:p>
        </w:tc>
        <w:tc>
          <w:p>
            <w:pPr>
              <w:pStyle w:val="Table01Row"/>
              <w:keepNext/>
            </w:pPr>
            <w:r>
              <w:t>Botanic Gardens and Parks Authority</w:t>
            </w:r>
          </w:p>
        </w:tc>
      </w:tr>
    </w:tbl>
    <w:p>
      <w:pPr>
        <w:keepNext/>
      </w:pPr>
    </w:p>
    <w:tbl>
      <w:tblPr>
        <w:tblW w:w="0" w:type="auto"/>
        <w:tblLayout w:type="fixed"/>
        <w:jc w:val="center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4253"/>
        <w:gridCol w:w="1134"/>
        <w:gridCol w:w="1134"/>
        <w:gridCol w:w="3686"/>
      </w:tblGrid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Botanic Gardens and Parks Authority Act 1998</w:t>
            </w:r>
          </w:p>
        </w:tc>
        <w:tc>
          <w:p>
            <w:pPr>
              <w:pStyle w:val="Table01Row"/>
            </w:pPr>
            <w:r>
              <w:t>1998/053</w:t>
            </w:r>
          </w:p>
        </w:tc>
        <w:tc>
          <w:p>
            <w:pPr>
              <w:pStyle w:val="Table01Row"/>
            </w:pPr>
            <w:r>
              <w:t>7 Dec 1998</w:t>
            </w:r>
          </w:p>
        </w:tc>
        <w:tc>
          <w:p>
            <w:pPr>
              <w:pStyle w:val="Table01Row"/>
            </w:pPr>
            <w:r>
              <w:rPr/>
              <w:t xml:space="preserve">s. 1 &amp; 2: 7 Dec 1998;</w:t>
            </w:r>
          </w:p>
          <w:p>
            <w:pPr>
              <w:pStyle w:val="Table01Row"/>
            </w:pPr>
            <w:r>
              <w:rPr/>
              <w:t xml:space="preserve">Act other than s. 1 &amp; 2: 1 Jul 1999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30 Jun 1999 p. 2879)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Corporations (Consequential Amendments) Act 2001</w:t>
            </w:r>
            <w:r>
              <w:t xml:space="preserve"> </w:t>
              <w:t>s. 220</w:t>
            </w:r>
          </w:p>
        </w:tc>
        <w:tc>
          <w:p>
            <w:pPr>
              <w:pStyle w:val="Table01Row"/>
            </w:pPr>
            <w:r>
              <w:t>2001/010</w:t>
            </w:r>
          </w:p>
        </w:tc>
        <w:tc>
          <w:p>
            <w:pPr>
              <w:pStyle w:val="Table01Row"/>
            </w:pPr>
            <w:r>
              <w:t>28 Jun 2001</w:t>
            </w:r>
          </w:p>
        </w:tc>
        <w:tc>
          <w:p>
            <w:pPr>
              <w:pStyle w:val="Table01Row"/>
            </w:pPr>
            <w:r>
              <w:rPr/>
              <w:t xml:space="preserve">15 Jul 2001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29 Jun 2001 p. 3257 and Cwlth. </w:t>
            </w:r>
            <w:r>
              <w:rPr>
                <w:i/>
              </w:rPr>
              <w:t xml:space="preserve">Gazette</w:t>
            </w:r>
            <w:r>
              <w:rPr/>
              <w:t xml:space="preserve"> 13 Jul 2001 No. S285)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Labour Relations Reform Act 2002</w:t>
            </w:r>
            <w:r>
              <w:t xml:space="preserve"> </w:t>
              <w:t>s. 27</w:t>
            </w:r>
          </w:p>
        </w:tc>
        <w:tc>
          <w:p>
            <w:pPr>
              <w:pStyle w:val="Table01Row"/>
            </w:pPr>
            <w:r>
              <w:t>2002/020</w:t>
            </w:r>
          </w:p>
        </w:tc>
        <w:tc>
          <w:p>
            <w:pPr>
              <w:pStyle w:val="Table01Row"/>
            </w:pPr>
            <w:r>
              <w:t>8 Jul 2002</w:t>
            </w:r>
          </w:p>
        </w:tc>
        <w:tc>
          <w:p>
            <w:pPr>
              <w:pStyle w:val="Table01Row"/>
            </w:pPr>
            <w:r>
              <w:rPr/>
              <w:t xml:space="preserve">15 Sep 2002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6 Sep 2002 p. 4487)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1 as at 13 Jun 2003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Sentencing Legislation Amendment and Repeal Act 2003</w:t>
            </w:r>
            <w:r>
              <w:t xml:space="preserve"> </w:t>
              <w:t>s. 39</w:t>
            </w:r>
          </w:p>
        </w:tc>
        <w:tc>
          <w:p>
            <w:pPr>
              <w:pStyle w:val="Table01Row"/>
            </w:pPr>
            <w:r>
              <w:t>2003/050</w:t>
            </w:r>
          </w:p>
        </w:tc>
        <w:tc>
          <w:p>
            <w:pPr>
              <w:pStyle w:val="Table01Row"/>
            </w:pPr>
            <w:r>
              <w:t>9 Jul 2003</w:t>
            </w:r>
          </w:p>
        </w:tc>
        <w:tc>
          <w:p>
            <w:pPr>
              <w:pStyle w:val="Table01Row"/>
            </w:pPr>
            <w:r>
              <w:rPr/>
              <w:t xml:space="preserve">15 May 2004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14 May 2004 p. 1445)</w:t>
            </w:r>
          </w:p>
        </w:tc>
      </w:tr>
      <w:tr>
        <w:trPr>
          <w:cantSplit/>
        </w:trPr>
        <w:tc>
          <w:tcPr>
            <w:gridSpan w:val="3"/>
          </w:tcPr>
          <w:p>
            <w:pPr>
              <w:pStyle w:val="Table01Row"/>
            </w:pPr>
            <w:r>
              <w:rPr>
                <w:i/>
              </w:rPr>
              <w:t>Labour Relations Reform (Consequential Amendments) Regulations 2003</w:t>
            </w:r>
            <w:r>
              <w:rPr/>
              <w:t xml:space="preserve"> r. 21 published in </w:t>
            </w:r>
            <w:r>
              <w:rPr>
                <w:i/>
              </w:rPr>
              <w:t xml:space="preserve">Gazette</w:t>
            </w:r>
            <w:r>
              <w:rPr/>
              <w:t xml:space="preserve"> 15 Aug 2003 p. 3685‑92</w:t>
            </w:r>
          </w:p>
        </w:tc>
        <w:tc>
          <w:p>
            <w:pPr>
              <w:pStyle w:val="Table01Row"/>
            </w:pPr>
            <w:r>
              <w:rPr/>
              <w:t xml:space="preserve">15 Sep 2003 (see r. 2)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Criminal Procedure and Appeals (Consequential and Other Provisions) Act 2004</w:t>
            </w:r>
            <w:r>
              <w:t xml:space="preserve"> </w:t>
              <w:t>s. 80</w:t>
            </w:r>
          </w:p>
        </w:tc>
        <w:tc>
          <w:p>
            <w:pPr>
              <w:pStyle w:val="Table01Row"/>
            </w:pPr>
            <w:r>
              <w:t>2004/084</w:t>
            </w:r>
          </w:p>
        </w:tc>
        <w:tc>
          <w:p>
            <w:pPr>
              <w:pStyle w:val="Table01Row"/>
            </w:pPr>
            <w:r>
              <w:t>16 Dec 2004</w:t>
            </w:r>
          </w:p>
        </w:tc>
        <w:tc>
          <w:p>
            <w:pPr>
              <w:pStyle w:val="Table01Row"/>
            </w:pPr>
            <w:r>
              <w:rPr/>
              <w:t xml:space="preserve">2 May 2005 (see s. 2 and </w:t>
            </w:r>
            <w:r>
              <w:rPr>
                <w:i/>
              </w:rPr>
              <w:t xml:space="preserve">Gazette</w:t>
            </w:r>
            <w:r>
              <w:rPr/>
              <w:t xml:space="preserve"> 31 Dec 2004 p. 7129 (correction in </w:t>
            </w:r>
            <w:r>
              <w:rPr>
                <w:i/>
              </w:rPr>
              <w:t xml:space="preserve">Gazette</w:t>
            </w:r>
            <w:r>
              <w:rPr/>
              <w:t xml:space="preserve"> 7 Jan 2005 p. 53))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Financial Legislation Amendment and Repeal Act 2006</w:t>
            </w:r>
            <w:r>
              <w:t xml:space="preserve"> </w:t>
              <w:t>s. 4, 5(1) &amp; Sch. 1 cl. 16</w:t>
            </w:r>
          </w:p>
        </w:tc>
        <w:tc>
          <w:p>
            <w:pPr>
              <w:pStyle w:val="Table01Row"/>
            </w:pPr>
            <w:r>
              <w:t>2006/077</w:t>
            </w:r>
          </w:p>
        </w:tc>
        <w:tc>
          <w:p>
            <w:pPr>
              <w:pStyle w:val="Table01Row"/>
            </w:pPr>
            <w:r>
              <w:t>21 Dec 2006</w:t>
            </w:r>
          </w:p>
        </w:tc>
        <w:tc>
          <w:p>
            <w:pPr>
              <w:pStyle w:val="Table01Row"/>
            </w:pPr>
            <w:r>
              <w:rPr/>
              <w:t xml:space="preserve">1 Feb 2007 (see s. 2(1) and </w:t>
            </w:r>
            <w:r>
              <w:rPr>
                <w:i/>
              </w:rPr>
              <w:t xml:space="preserve">Gazette</w:t>
            </w:r>
            <w:r>
              <w:rPr/>
              <w:t xml:space="preserve"> 19 Jan 2007 p. 137)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2 as at 6 Aug 2010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Sector Reform Act 2010</w:t>
            </w:r>
            <w:r>
              <w:t xml:space="preserve"> </w:t>
              <w:t>s. 89</w:t>
            </w:r>
          </w:p>
        </w:tc>
        <w:tc>
          <w:p>
            <w:pPr>
              <w:pStyle w:val="Table01Row"/>
            </w:pPr>
            <w:r>
              <w:t>2010/039</w:t>
            </w:r>
          </w:p>
        </w:tc>
        <w:tc>
          <w:p>
            <w:pPr>
              <w:pStyle w:val="Table01Row"/>
            </w:pPr>
            <w:r>
              <w:t>1 Oct 2010</w:t>
            </w:r>
          </w:p>
        </w:tc>
        <w:tc>
          <w:p>
            <w:pPr>
              <w:pStyle w:val="Table01Row"/>
            </w:pPr>
            <w:r>
              <w:rPr/>
              <w:t xml:space="preserve">1 Dec 2010 (see s. 2(b) and </w:t>
            </w:r>
            <w:r>
              <w:rPr>
                <w:i/>
              </w:rPr>
              <w:t xml:space="preserve">Gazette</w:t>
            </w:r>
            <w:r>
              <w:rPr/>
              <w:t xml:space="preserve"> 5 Nov 2010 p. 5563)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Act 2012</w:t>
            </w:r>
            <w:r>
              <w:t xml:space="preserve"> </w:t>
              <w:t>Pt. 4 Div. 3</w:t>
            </w:r>
          </w:p>
        </w:tc>
        <w:tc>
          <w:p>
            <w:pPr>
              <w:pStyle w:val="Table01Row"/>
            </w:pPr>
            <w:r>
              <w:t>2012/008</w:t>
            </w:r>
          </w:p>
        </w:tc>
        <w:tc>
          <w:p>
            <w:pPr>
              <w:pStyle w:val="Table01Row"/>
            </w:pPr>
            <w:r>
              <w:t>21 May 2012</w:t>
            </w:r>
          </w:p>
        </w:tc>
        <w:tc>
          <w:p>
            <w:pPr>
              <w:pStyle w:val="Table01Row"/>
            </w:pPr>
            <w:r>
              <w:rPr/>
              <w:t xml:space="preserve">27 Apr 2015 (see s. 2(d) and </w:t>
            </w:r>
            <w:r>
              <w:rPr>
                <w:i/>
              </w:rPr>
              <w:t xml:space="preserve">Gazette</w:t>
            </w:r>
            <w:r>
              <w:rPr/>
              <w:t xml:space="preserve"> 17 Apr 2015 p. 1371)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City of Perth Act 2016</w:t>
            </w:r>
            <w:r>
              <w:t xml:space="preserve"> </w:t>
              <w:t>Pt. 4 Div. 2</w:t>
            </w:r>
          </w:p>
        </w:tc>
        <w:tc>
          <w:p>
            <w:pPr>
              <w:pStyle w:val="Table01Row"/>
            </w:pPr>
            <w:r>
              <w:t>2016/002</w:t>
            </w:r>
          </w:p>
        </w:tc>
        <w:tc>
          <w:p>
            <w:pPr>
              <w:pStyle w:val="Table01Row"/>
            </w:pPr>
            <w:r>
              <w:t>3 Mar 2016</w:t>
            </w:r>
          </w:p>
        </w:tc>
        <w:tc>
          <w:p>
            <w:pPr>
              <w:pStyle w:val="Table01Row"/>
            </w:pPr>
            <w:r>
              <w:rPr/>
              <w:t xml:space="preserve">4 Mar 2016 (see s. 2(b))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Public Health (Consequential Provisions) Act 2016</w:t>
            </w:r>
            <w:r>
              <w:t xml:space="preserve"> </w:t>
              <w:t>Pt. 3 Div. 6</w:t>
            </w:r>
          </w:p>
        </w:tc>
        <w:tc>
          <w:p>
            <w:pPr>
              <w:pStyle w:val="Table01Row"/>
            </w:pPr>
            <w:r>
              <w:t>2016/019</w:t>
            </w:r>
          </w:p>
        </w:tc>
        <w:tc>
          <w:p>
            <w:pPr>
              <w:pStyle w:val="Table01Row"/>
            </w:pPr>
            <w:r>
              <w:t>25 Jul 2016</w:t>
            </w:r>
          </w:p>
        </w:tc>
        <w:tc>
          <w:p>
            <w:pPr>
              <w:pStyle w:val="Table01Row"/>
            </w:pPr>
            <w:r>
              <w:rPr/>
              <w:t xml:space="preserve">24 Jan 2017 (see s. 2(1)(c) and </w:t>
            </w:r>
            <w:r>
              <w:rPr>
                <w:i/>
              </w:rPr>
              <w:t xml:space="preserve">Gazette</w:t>
            </w:r>
            <w:r>
              <w:rPr/>
              <w:t xml:space="preserve"> 10 Jan 2017 p. 165)</w:t>
            </w:r>
          </w:p>
        </w:tc>
      </w:tr>
      <w:tr>
        <w:trPr>
          <w:cantSplit/>
        </w:trPr>
        <w:tc>
          <w:tcPr>
            <w:gridSpan w:val="4"/>
          </w:tcPr>
          <w:p>
            <w:pPr>
              <w:pStyle w:val="Table01Row"/>
            </w:pPr>
            <w:r>
              <w:rPr>
                <w:b/>
              </w:rPr>
              <w:t>Reprint 3 as at 7 Dec 2018 </w:t>
            </w:r>
          </w:p>
        </w:tc>
      </w:tr>
      <w:tr>
        <w:trPr>
          <w:cantSplit/>
        </w:trPr>
        <w:tc>
          <w:p>
            <w:pPr>
              <w:pStyle w:val="Table01Row"/>
            </w:pPr>
            <w:r>
              <w:rPr>
                <w:i/>
              </w:rPr>
              <w:t>Road Traffic Legislation Amendment (Infringement Management Reform) Act 2024</w:t>
            </w:r>
            <w:r>
              <w:t xml:space="preserve"> </w:t>
              <w:t>Pt. 4 Div. 1</w:t>
            </w:r>
          </w:p>
        </w:tc>
        <w:tc>
          <w:p>
            <w:pPr>
              <w:pStyle w:val="Table01Row"/>
            </w:pPr>
            <w:r>
              <w:t>2024/015</w:t>
            </w:r>
          </w:p>
        </w:tc>
        <w:tc>
          <w:p>
            <w:pPr>
              <w:pStyle w:val="Table01Row"/>
            </w:pPr>
            <w:r>
              <w:t>14 May 2024</w:t>
            </w:r>
          </w:p>
        </w:tc>
        <w:tc>
          <w:p>
            <w:pPr>
              <w:pStyle w:val="Table01Row"/>
            </w:pPr>
            <w:r>
              <w:rPr/>
              <w:t xml:space="preserve">7 Oct 2024 (see s. 2(b) and SL 2024/200 cl. 2)</w:t>
            </w:r>
          </w:p>
        </w:tc>
      </w:tr>
    </w:tbl>
    <w:sectPr>
      <w:headerReference w:type="even" r:id="rId8"/>
      <w:headerReference w:type="default" r:id="rId9"/>
      <w:footerReference w:type="even" r:id="rId10"/>
      <w:footerReference w:type="default" r:id="rId11"/>
      <w:pgSz w:w="11906" w:h="16838" w:code="9"/>
      <w:pgMar w:top="851" w:right="851" w:bottom="851" w:left="851" w:header="851" w:footer="85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>
      <w:pPr>
        <w:spacing w:line="20" w:lineRule="exact"/>
      </w:pPr>
    </w:p>
  </w:endnote>
  <w:endnote w:type="continuationSeparator" w:id="0">
    <w:p>
      <w:r>
        <w:t xml:space="preserve"> </w:t>
      </w:r>
    </w:p>
  </w:endnote>
  <w:endnote w:type="continuationNotice" w:id="1">
    <w:p>
      <w:r>
        <w:t xml:space="preserve"> 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</w:pP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er2.xml><?xml version="1.0" encoding="utf-8"?>
<w:ft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IFooter"/>
      <w:rPr>
        <w:sz w:val="10"/>
      </w:rPr>
    </w:pPr>
    <w:r>
      <w:tab/>
    </w:r>
    <w:r>
      <w:fldChar w:fldCharType="begin"/>
    </w:r>
    <w:r>
      <w:instrText xml:space="preserve"> STYLEREF IActName \* CHARFORMAT</w:instrText>
    </w:r>
    <w:r>
      <w:fldChar w:fldCharType="separate"/>
    </w:r>
    <w:r>
      <w:rPr>
        <w:b/>
        <w:bCs/>
        <w:noProof/>
        <w:lang w:val="en-US"/>
      </w:rPr>
      <w:t>Error! No text of specified style in document.</w:t>
    </w:r>
    <w:r>
      <w:fldChar w:fldCharType="end"/>
    </w:r>
  </w:p>
  <w:p>
    <w:pPr>
      <w:pStyle w:val="Footer"/>
    </w:pPr>
    <w:r>
      <w:rPr>
        <w:sz w:val="18"/>
      </w:rPr>
      <w:t>1-</w:t>
    </w: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</w:rPr>
      <w:t>Error! No text of specified style in document.</w:t>
    </w:r>
    <w:r>
      <w:rPr>
        <w:b/>
      </w:rPr>
      <w:fldChar w:fldCharType="end"/>
    </w:r>
    <w:r>
      <w:tab/>
      <w:t xml:space="preserve">Table 1 — Acts in force</w:t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header2.xml><?xml version="1.0" encoding="utf-8"?>
<w:hdr xmlns:w="http://schemas.openxmlformats.org/wordprocessingml/2006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>
    <w:pPr>
      <w:pStyle w:val="Header"/>
    </w:pPr>
    <w:r>
      <w:tab/>
    </w:r>
    <w:r>
      <w:tab/>
      <w:t xml:space="preserve">Table 1 — Acts in force</w:t>
    </w:r>
    <w:r>
      <w:tab/>
    </w:r>
    <w:r>
      <w:rPr>
        <w:b/>
      </w:rPr>
      <w:fldChar w:fldCharType="begin"/>
    </w:r>
    <w:r>
      <w:rPr>
        <w:b/>
      </w:rPr>
      <w:instrText xml:space="preserve"> STYLEREF  IAlphabetDivider </w:instrText>
    </w:r>
    <w:r>
      <w:rPr>
        <w:b/>
      </w:rPr>
      <w:fldChar w:fldCharType="separate"/>
    </w:r>
    <w:r>
      <w:rPr>
        <w:b/>
        <w:lang w:val="en-US"/>
      </w:rPr>
      <w:t>Error! No text of specified style in document.</w:t>
    </w:r>
    <w:r>
      <w:rPr>
        <w:b/>
      </w:rPr>
      <w:fldChar w:fldCharType="end"/>
    </w:r>
  </w:p>
  <w:tbl>
    <w:tblPr>
      <w:tblW w:w="0" w:type="auto"/>
      <w:jc w:val="center"/>
      <w:tblLayout w:type="fixed"/>
      <w:tblCellMar>
        <w:left w:w="28" w:type="dxa"/>
        <w:right w:w="28" w:type="dxa"/>
      </w:tblCellMar>
      <w:tblLook w:val="0000" w:firstRow="0" w:lastRow="0" w:firstColumn="0" w:lastColumn="0" w:noHBand="0" w:noVBand="0"/>
    </w:tblPr>
    <w:tblGrid>
      <w:gridCol w:w="3828"/>
      <w:gridCol w:w="1559"/>
      <w:gridCol w:w="1134"/>
      <w:gridCol w:w="3686"/>
    </w:tblGrid>
    <w:tr>
      <w:trPr>
        <w:cantSplit/>
        <w:trHeight w:val="510"/>
        <w:tblHeader/>
        <w:jc w:val="center"/>
      </w:trPr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Act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Year/Number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Assent</w:t>
          </w:r>
        </w:p>
      </w:tc>
      <w:tc>
        <w:tcPr>
          <w:tcBorders>
            <w:top w:val="single" w:sz="4" w:space="0" w:color="auto"/>
            <w:bottom w:val="single" w:sz="4" w:space="0" w:color="auto"/>
          </w:tcBorders>
          <w:vAlign w:val="center"/>
        </w:tcPr>
        <w:p>
          <w:pPr>
            <w:pStyle w:val="Table01Hdr"/>
          </w:pPr>
          <w:r>
            <w:t>Commencement</w:t>
          </w:r>
        </w:p>
      </w:tc>
    </w:tr>
    <w:tr>
      <w:trPr>
        <w:cantSplit/>
        <w:jc w:val="center"/>
      </w:trPr>
      <w:tc>
        <w:tcPr/>
        <w:p/>
      </w:tc>
      <w:tc>
        <w:tcPr/>
        <w:p/>
      </w:tc>
      <w:tc>
        <w:tcPr/>
        <w:p/>
      </w:tc>
      <w:tc>
        <w:tcPr/>
        <w:p/>
      </w:tc>
    </w:tr>
  </w:tbl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12C6A94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58EA9DE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676F2DA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D8B42634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626AE1C8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F1864EE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C832B94A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E902AA90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7B22468C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2222F5B0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 w15:restartNumberingAfterBreak="0">
    <w:nsid w:val="02411BE1"/>
    <w:multiLevelType w:val="singleLevel"/>
    <w:tmpl w:val="94B8C984"/>
    <w:lvl w:ilvl="0">
      <w:start w:val="7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2" w15:restartNumberingAfterBreak="0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3" w15:restartNumberingAfterBreak="0">
    <w:nsid w:val="0F3C3412"/>
    <w:multiLevelType w:val="multilevel"/>
    <w:tmpl w:val="4968A1EE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 w15:restartNumberingAfterBreak="0">
    <w:nsid w:val="138B63E2"/>
    <w:multiLevelType w:val="multilevel"/>
    <w:tmpl w:val="3B4E73C2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 w15:restartNumberingAfterBreak="0">
    <w:nsid w:val="213A7538"/>
    <w:multiLevelType w:val="singleLevel"/>
    <w:tmpl w:val="47388A70"/>
    <w:lvl w:ilvl="0">
      <w:start w:val="5"/>
      <w:numFmt w:val="decimal"/>
      <w:lvlText w:val="(%1)"/>
      <w:lvlJc w:val="left"/>
      <w:pPr>
        <w:tabs>
          <w:tab w:val="num" w:pos="1620"/>
        </w:tabs>
        <w:ind w:left="1620" w:hanging="525"/>
      </w:pPr>
      <w:rPr>
        <w:rFonts w:hint="default"/>
      </w:rPr>
    </w:lvl>
  </w:abstractNum>
  <w:abstractNum w:abstractNumId="17" w15:restartNumberingAfterBreak="0">
    <w:nsid w:val="22FF52EB"/>
    <w:multiLevelType w:val="multilevel"/>
    <w:tmpl w:val="033A45D2"/>
    <w:name w:val="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8" w15:restartNumberingAfterBreak="0">
    <w:nsid w:val="27855774"/>
    <w:multiLevelType w:val="singleLevel"/>
    <w:tmpl w:val="97B47F60"/>
    <w:lvl w:ilvl="0">
      <w:start w:val="2"/>
      <w:numFmt w:val="decimal"/>
      <w:lvlText w:val="%1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9" w15:restartNumberingAfterBreak="0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0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 w15:restartNumberingAfterBreak="0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2" w15:restartNumberingAfterBreak="0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3" w15:restartNumberingAfterBreak="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4" w15:restartNumberingAfterBreak="0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5" w15:restartNumberingAfterBreak="0">
    <w:nsid w:val="3C2808C0"/>
    <w:multiLevelType w:val="singleLevel"/>
    <w:tmpl w:val="BDD2BB06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6" w15:restartNumberingAfterBreak="0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7" w15:restartNumberingAfterBreak="0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8" w15:restartNumberingAfterBreak="0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9" w15:restartNumberingAfterBreak="0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30" w15:restartNumberingAfterBreak="0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1" w15:restartNumberingAfterBreak="0">
    <w:nsid w:val="6FDE73CC"/>
    <w:multiLevelType w:val="multilevel"/>
    <w:tmpl w:val="E1B8D9A4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7821B5A"/>
    <w:multiLevelType w:val="singleLevel"/>
    <w:tmpl w:val="FEEA0620"/>
    <w:lvl w:ilvl="0">
      <w:start w:val="5"/>
      <w:numFmt w:val="decimal"/>
      <w:lvlText w:val="%1"/>
      <w:lvlJc w:val="left"/>
      <w:pPr>
        <w:tabs>
          <w:tab w:val="num" w:pos="465"/>
        </w:tabs>
        <w:ind w:left="465" w:hanging="465"/>
      </w:pPr>
      <w:rPr>
        <w:rFonts w:hint="default"/>
      </w:rPr>
    </w:lvl>
  </w:abstractNum>
  <w:num w:numId="1">
    <w:abstractNumId w:val="9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8"/>
  </w:num>
  <w:num w:numId="7">
    <w:abstractNumId w:val="3"/>
  </w:num>
  <w:num w:numId="8">
    <w:abstractNumId w:val="2"/>
  </w:num>
  <w:num w:numId="9">
    <w:abstractNumId w:val="1"/>
  </w:num>
  <w:num w:numId="10">
    <w:abstractNumId w:val="32"/>
  </w:num>
  <w:num w:numId="11">
    <w:abstractNumId w:val="16"/>
  </w:num>
  <w:num w:numId="12">
    <w:abstractNumId w:val="18"/>
  </w:num>
  <w:num w:numId="13">
    <w:abstractNumId w:val="11"/>
  </w:num>
  <w:num w:numId="14">
    <w:abstractNumId w:val="25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hideSpellingErrors/>
  <w:activeWritingStyle w:appName="MSWord" w:lang="en-AU" w:vendorID="8" w:dllVersion="513" w:checkStyle="1"/>
  <w:activeWritingStyle w:appName="MSWord" w:lang="en-US" w:vendorID="8" w:dllVersion="513" w:checkStyle="1"/>
  <w:proofState w:spelling="clean" w:grammar="clean"/>
  <w:defaultTabStop w:val="720"/>
  <w:hyphenationZone w:val="863"/>
  <w:doNotHyphenateCaps/>
  <w:evenAndOddHeader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61"/>
    <o:shapelayout v:ext="edit">
      <o:idmap v:ext="edit" data="1"/>
    </o:shapelayout>
  </w:shapeDefaults>
  <w:decimalSymbol w:val="."/>
  <w:listSeparator w:val=","/>
  <w15:docId w15:val="{C21DF542-39DD-4A5F-8DB7-8839CA793E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semiHidden/>
    <w:pPr>
      <w:tabs>
        <w:tab w:val="left" w:pos="284"/>
        <w:tab w:val="center" w:pos="5103"/>
        <w:tab w:val="right" w:pos="9923"/>
      </w:tabs>
      <w:spacing w:after="80"/>
    </w:pPr>
  </w:style>
  <w:style w:type="paragraph" w:styleId="Footer">
    <w:name w:val="footer"/>
    <w:semiHidden/>
    <w:pPr>
      <w:jc w:val="center"/>
    </w:pPr>
    <w:rPr>
      <w:sz w:val="16"/>
    </w:rPr>
  </w:style>
  <w:style w:type="paragraph" w:customStyle="1" w:styleId="IFooter">
    <w:name w:val="IFooter"/>
    <w:semiHidden/>
    <w:pPr>
      <w:pBdr>
        <w:top w:val="single" w:sz="4" w:space="1" w:color="auto"/>
      </w:pBdr>
      <w:tabs>
        <w:tab w:val="right" w:pos="10206"/>
      </w:tabs>
      <w:spacing w:line="260" w:lineRule="atLeast"/>
    </w:pPr>
    <w:rPr>
      <w:i/>
      <w:snapToGrid w:val="0"/>
      <w:sz w:val="16"/>
      <w:lang w:eastAsia="en-US"/>
    </w:rPr>
  </w:style>
  <w:style w:type="paragraph" w:styleId="DocumentMap">
    <w:name w:val="Document Map"/>
    <w:basedOn w:val="Normal"/>
    <w:semiHidden/>
    <w:pPr>
      <w:shd w:val="clear" w:color="auto" w:fill="000080"/>
    </w:pPr>
    <w:rPr>
      <w:rFonts w:ascii="Tahoma" w:hAnsi="Tahoma"/>
    </w:rPr>
  </w:style>
  <w:style w:type="paragraph" w:customStyle="1" w:styleId="IAlphabetDivider">
    <w:name w:val="IAlphabetDivider"/>
    <w:pPr>
      <w:pageBreakBefore/>
      <w:suppressAutoHyphens/>
      <w:jc w:val="center"/>
      <w:outlineLvl w:val="1"/>
    </w:pPr>
    <w:rPr>
      <w:sz w:val="28"/>
    </w:rPr>
  </w:style>
  <w:style w:type="paragraph" w:customStyle="1" w:styleId="ITable">
    <w:name w:val="ITable"/>
    <w:pPr>
      <w:suppressAutoHyphens/>
      <w:jc w:val="center"/>
      <w:outlineLvl w:val="0"/>
    </w:pPr>
    <w:rPr>
      <w:b/>
      <w:sz w:val="32"/>
    </w:rPr>
  </w:style>
  <w:style w:type="paragraph" w:customStyle="1" w:styleId="IActName">
    <w:name w:val="IActName"/>
    <w:basedOn w:val="Normal"/>
    <w:pPr>
      <w:keepNext/>
      <w:suppressAutoHyphens/>
      <w:spacing w:before="240"/>
      <w:ind w:left="284" w:hanging="284"/>
      <w:outlineLvl w:val="2"/>
    </w:pPr>
    <w:rPr>
      <w:b/>
      <w:i/>
      <w:sz w:val="24"/>
    </w:rPr>
  </w:style>
  <w:style w:type="character" w:styleId="Hyperlink">
    <w:name w:val="Hyperlink"/>
    <w:basedOn w:val="DefaultParagraphFont"/>
    <w:semiHidden/>
    <w:rPr>
      <w:color w:val="0000FF"/>
      <w:u w:val="none"/>
    </w:rPr>
  </w:style>
  <w:style w:type="character" w:styleId="FollowedHyperlink">
    <w:name w:val="FollowedHyperlink"/>
    <w:basedOn w:val="DefaultParagraphFont"/>
    <w:semiHidden/>
    <w:rPr>
      <w:color w:val="800080"/>
      <w:u w:val="single"/>
    </w:rPr>
  </w:style>
  <w:style w:type="paragraph" w:customStyle="1" w:styleId="BuildTime">
    <w:name w:val="BuildTime"/>
    <w:pPr>
      <w:jc w:val="center"/>
    </w:pPr>
    <w:rPr>
      <w:sz w:val="24"/>
    </w:rPr>
  </w:style>
  <w:style w:type="paragraph" w:customStyle="1" w:styleId="Highlight">
    <w:name w:val="Highlight"/>
    <w:pPr>
      <w:spacing w:before="120" w:after="60"/>
      <w:ind w:left="284" w:hanging="284"/>
      <w:jc w:val="both"/>
    </w:pPr>
    <w:rPr>
      <w:sz w:val="28"/>
    </w:rPr>
  </w:style>
  <w:style w:type="paragraph" w:customStyle="1" w:styleId="Notes">
    <w:name w:val="Notes"/>
  </w:style>
  <w:style w:type="paragraph" w:customStyle="1" w:styleId="Table01Row">
    <w:name w:val="Table01Row"/>
    <w:qFormat/>
    <w:pPr>
      <w:spacing w:before="40" w:after="40"/>
    </w:pPr>
    <w:rPr>
      <w:sz w:val="18"/>
    </w:rPr>
  </w:style>
  <w:style w:type="paragraph" w:customStyle="1" w:styleId="Table01Hdr">
    <w:name w:val="Table01Hdr"/>
    <w:qFormat/>
    <w:pPr>
      <w:jc w:val="center"/>
    </w:pPr>
    <w:rPr>
      <w:b/>
    </w:rPr>
  </w:style>
  <w:style w:type="paragraph" w:customStyle="1" w:styleId="Table01Note">
    <w:name w:val="Table01Note"/>
    <w:qFormat/>
    <w:pPr>
      <w:keepNext/>
      <w:spacing w:before="80" w:after="40"/>
      <w:ind w:left="113"/>
    </w:pPr>
    <w:rPr>
      <w:sz w:val="18"/>
    </w:rPr>
  </w:style>
  <w:style w:type="paragraph" w:customStyle="1" w:styleId="Table01BNote">
    <w:name w:val="Table01BNote"/>
    <w:qFormat/>
    <w:pPr>
      <w:spacing w:before="40" w:after="40"/>
      <w:ind w:left="170" w:hanging="170"/>
    </w:pPr>
    <w:rPr>
      <w:b/>
      <w:sz w:val="18"/>
    </w:rPr>
  </w:style>
  <w:style w:type="table" w:styleId="TableGrid">
    <w:name w:val="Table Grid"/>
    <w:basedOn w:val="TableNormal"/>
    <w:uiPriority w:val="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DocSecurity>0</DocSecurity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Table 1 — Acts in force</vt:lpstr>
    </vt:vector>
  </TitlesOfParts>
  <LinksUpToDate>false</LinksUpToDate>
  <CharactersWithSpaces>1722</CharactersWithSpaces>
  <SharedDoc>false</SharedDoc>
  <HLinks>
    <vt:vector size="6" baseType="variant">
      <vt:variant>
        <vt:i4>65542</vt:i4>
      </vt:variant>
      <vt:variant>
        <vt:i4>-1</vt:i4>
      </vt:variant>
      <vt:variant>
        <vt:i4>1027</vt:i4>
      </vt:variant>
      <vt:variant>
        <vt:i4>1</vt:i4>
      </vt:variant>
      <vt:variant>
        <vt:lpwstr>CREST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Table 1 — Acts in force</dc:title>
  <cp:revision>24</cp:revision>
  <cp:category/>
  <dc:creator>Tables Generator</dc:creator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pid="2" name="Citation" fmtid="{D5CDD505-2E9C-101B-9397-08002B2CF9AE}">
    <vt:lpwstr>Botanic Gardens and Parks Authority Act 1998</vt:lpwstr>
  </property>
  <property pid="3" name="IDAct" fmtid="{D5CDD505-2E9C-101B-9397-08002B2CF9AE}">
    <vt:lpwstr>1911</vt:lpwstr>
  </property>
  <property pid="4" name="ChangedDate" fmtid="{D5CDD505-2E9C-101B-9397-08002B2CF9AE}">
    <vt:lpwstr>20250520124742</vt:lpwstr>
  </property>
</Properties>
</file>