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Railway (Northern and Southern Urban Extensions) Act 1999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Railway (Northern and Southern Urban Extensions) Act 1999</w:t>
            </w:r>
          </w:p>
        </w:tc>
        <w:tc>
          <w:p>
            <w:pPr>
              <w:pStyle w:val="Table01Row"/>
            </w:pPr>
            <w:r>
              <w:t>1999/049</w:t>
            </w:r>
          </w:p>
        </w:tc>
        <w:tc>
          <w:p>
            <w:pPr>
              <w:pStyle w:val="Table01Row"/>
            </w:pPr>
            <w:r>
              <w:t>8 Dec 1999</w:t>
            </w:r>
          </w:p>
        </w:tc>
        <w:tc>
          <w:p>
            <w:pPr>
              <w:pStyle w:val="Table01Row"/>
            </w:pPr>
            <w:r>
              <w:rPr/>
              <w:t xml:space="preserve">8 Dec 1999 (see s.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Railway (Northern and Southern Urban Extensions) Act 1999</vt:lpwstr>
  </property>
  <property pid="3" name="IDAct" fmtid="{D5CDD505-2E9C-101B-9397-08002B2CF9AE}">
    <vt:lpwstr>1973</vt:lpwstr>
  </property>
  <property pid="4" name="ChangedDate" fmtid="{D5CDD505-2E9C-101B-9397-08002B2CF9AE}">
    <vt:lpwstr>20260804143231</vt:lpwstr>
  </property>
</Properties>
</file>