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G</w:t>
      </w:r>
    </w:p>
    <w:p>
      <w:pPr>
        <w:pStyle w:val="IActName"/>
      </w:pPr>
      <w:r>
        <w:t>Gas Corporation (Business Disposal) Act 1999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Energy and Decarbonisation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Department of Energy and Economic Diversification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Gas Corporation (Business Disposal) Act 1999</w:t>
            </w:r>
          </w:p>
        </w:tc>
        <w:tc>
          <w:p>
            <w:pPr>
              <w:pStyle w:val="Table01Row"/>
            </w:pPr>
            <w:r>
              <w:t>1999/058</w:t>
            </w:r>
          </w:p>
        </w:tc>
        <w:tc>
          <w:p>
            <w:pPr>
              <w:pStyle w:val="Table01Row"/>
            </w:pPr>
            <w:r>
              <w:t>24 Dec 1999</w:t>
            </w:r>
          </w:p>
        </w:tc>
        <w:tc>
          <w:p>
            <w:pPr>
              <w:pStyle w:val="Table01Row"/>
            </w:pPr>
            <w:r>
              <w:rPr/>
              <w:t xml:space="preserve">Act other than Pt. 6 Div. 2‑5: 24 Dec 1999 (see s. 2(1));</w:t>
            </w:r>
          </w:p>
          <w:p>
            <w:pPr>
              <w:pStyle w:val="Table01Row"/>
            </w:pPr>
            <w:r>
              <w:rPr/>
              <w:t xml:space="preserve">Pt. 6 Div. 4: 1 Jan 2000 (see s. 2(7));</w:t>
            </w:r>
          </w:p>
          <w:p>
            <w:pPr>
              <w:pStyle w:val="Table01Row"/>
            </w:pPr>
            <w:r>
              <w:rPr/>
              <w:t xml:space="preserve">Pt. 6 Div. 2: 1 Jul 2000 (see s. 2(2) and </w:t>
            </w:r>
            <w:r>
              <w:rPr>
                <w:i/>
              </w:rPr>
              <w:t xml:space="preserve">Gazette</w:t>
            </w:r>
            <w:r>
              <w:rPr/>
              <w:t xml:space="preserve"> 4 Jul 2000 p. 3545);</w:t>
            </w:r>
          </w:p>
          <w:p>
            <w:pPr>
              <w:pStyle w:val="Table01Row"/>
            </w:pPr>
            <w:r>
              <w:rPr/>
              <w:t xml:space="preserve">Pt. 6 Div. 3: 16 Dec 2000 (see s. 2(5) and </w:t>
            </w:r>
            <w:r>
              <w:rPr>
                <w:i/>
              </w:rPr>
              <w:t xml:space="preserve">Gazette</w:t>
            </w:r>
            <w:r>
              <w:rPr/>
              <w:t xml:space="preserve"> 15 Dec 2000 p. 7201);</w:t>
            </w:r>
          </w:p>
          <w:p>
            <w:pPr>
              <w:pStyle w:val="Table01Row"/>
            </w:pPr>
            <w:r>
              <w:rPr/>
              <w:t xml:space="preserve">Pt. 6 Div. 5 repealed by 2003/074 s. 58(3)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Pt. 28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2003</w:t>
            </w:r>
            <w:r>
              <w:t xml:space="preserve"> </w:t>
              <w:t>s. 51(4) &amp; 58</w:t>
            </w:r>
          </w:p>
        </w:tc>
        <w:tc>
          <w:p>
            <w:pPr>
              <w:pStyle w:val="Table01Row"/>
            </w:pPr>
            <w:r>
              <w:t>2003/074</w:t>
            </w:r>
          </w:p>
        </w:tc>
        <w:tc>
          <w:p>
            <w:pPr>
              <w:pStyle w:val="Table01Row"/>
            </w:pPr>
            <w:r>
              <w:t>15 Dec 2003</w:t>
            </w:r>
          </w:p>
        </w:tc>
        <w:tc>
          <w:p>
            <w:pPr>
              <w:pStyle w:val="Table01Row"/>
            </w:pPr>
            <w:r>
              <w:rPr/>
              <w:t xml:space="preserve">15 Dec 2003 (see s. 2)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18 Nov 2005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Planning and Development (Consequential and Transitional Provisions) Act 2005</w:t>
            </w:r>
            <w:r>
              <w:t xml:space="preserve"> </w:t>
              <w:t>s. 15</w:t>
            </w:r>
          </w:p>
        </w:tc>
        <w:tc>
          <w:p>
            <w:pPr>
              <w:pStyle w:val="Table01Row"/>
            </w:pPr>
            <w:r>
              <w:t>2005/038</w:t>
            </w:r>
          </w:p>
        </w:tc>
        <w:tc>
          <w:p>
            <w:pPr>
              <w:pStyle w:val="Table01Row"/>
            </w:pPr>
            <w:r>
              <w:t>12 Dec 2005</w:t>
            </w:r>
          </w:p>
        </w:tc>
        <w:tc>
          <w:p>
            <w:pPr>
              <w:pStyle w:val="Table01Row"/>
            </w:pPr>
            <w:r>
              <w:rPr/>
              <w:t xml:space="preserve">9 Apr 2006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21 Mar 2006 p. 1078)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 &amp; Sch. 1 cl. 72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Statutes (Repeals and Minor Amendments) Act 2011</w:t>
            </w:r>
            <w:r>
              <w:t xml:space="preserve"> </w:t>
              <w:t>s. 16</w:t>
            </w:r>
          </w:p>
        </w:tc>
        <w:tc>
          <w:p>
            <w:pPr>
              <w:pStyle w:val="Table01Row"/>
            </w:pPr>
            <w:r>
              <w:t>2011/047</w:t>
            </w:r>
          </w:p>
        </w:tc>
        <w:tc>
          <w:p>
            <w:pPr>
              <w:pStyle w:val="Table01Row"/>
            </w:pPr>
            <w:r>
              <w:t>25 Oct 2011</w:t>
            </w:r>
          </w:p>
        </w:tc>
        <w:tc>
          <w:p>
            <w:pPr>
              <w:pStyle w:val="Table01Row"/>
            </w:pPr>
            <w:r>
              <w:rPr/>
              <w:t xml:space="preserve">26 Oct 2011 (see s. 2(b))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29 Aug 2014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Directors’ Liability Reform Act 2023</w:t>
            </w:r>
            <w:r>
              <w:t xml:space="preserve"> </w:t>
              <w:t>Pt. 3 Div. 31</w:t>
            </w:r>
          </w:p>
        </w:tc>
        <w:tc>
          <w:p>
            <w:pPr>
              <w:pStyle w:val="Table01Row"/>
            </w:pPr>
            <w:r>
              <w:t>2023/009</w:t>
            </w:r>
          </w:p>
        </w:tc>
        <w:tc>
          <w:p>
            <w:pPr>
              <w:pStyle w:val="Table01Row"/>
            </w:pPr>
            <w:r>
              <w:t>4 Apr 2023</w:t>
            </w:r>
          </w:p>
        </w:tc>
        <w:tc>
          <w:p>
            <w:pPr>
              <w:pStyle w:val="Table01Row"/>
            </w:pPr>
            <w:r>
              <w:rPr/>
              <w:t xml:space="preserve">5 Apr 2023 (see s. 2(j))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Gas Corporation (Business Disposal) Act 1999</vt:lpwstr>
  </property>
  <property pid="3" name="IDAct" fmtid="{D5CDD505-2E9C-101B-9397-08002B2CF9AE}">
    <vt:lpwstr>1982</vt:lpwstr>
  </property>
  <property pid="4" name="ChangedDate" fmtid="{D5CDD505-2E9C-101B-9397-08002B2CF9AE}">
    <vt:lpwstr>20250702003417</vt:lpwstr>
  </property>
</Properties>
</file>