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Corporations (Administrative Actions) Act 2001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(Administrative Actions) Act 2001</w:t>
            </w:r>
          </w:p>
        </w:tc>
        <w:tc>
          <w:p>
            <w:pPr>
              <w:pStyle w:val="Table01Row"/>
            </w:pPr>
            <w:r>
              <w:t>2001/009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Operative immediately before the beginning of 15 Jul 2001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Corporations (Administrative Actions) Act 2001</vt:lpwstr>
  </property>
  <property pid="3" name="IDAct" fmtid="{D5CDD505-2E9C-101B-9397-08002B2CF9AE}">
    <vt:lpwstr>2074</vt:lpwstr>
  </property>
  <property pid="4" name="ChangedDate" fmtid="{D5CDD505-2E9C-101B-9397-08002B2CF9AE}">
    <vt:lpwstr>20250402124408</vt:lpwstr>
  </property>
</Properties>
</file>