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 (Narngulu to Geraldton) Act 2001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(Narngulu to Geraldton) Act 2001</w:t>
            </w:r>
          </w:p>
        </w:tc>
        <w:tc>
          <w:p>
            <w:pPr>
              <w:pStyle w:val="Table01Row"/>
            </w:pPr>
            <w:r>
              <w:t>2001/017</w:t>
            </w:r>
          </w:p>
        </w:tc>
        <w:tc>
          <w:p>
            <w:pPr>
              <w:pStyle w:val="Table01Row"/>
            </w:pPr>
            <w:r>
              <w:t>29 Aug 2001</w:t>
            </w:r>
          </w:p>
        </w:tc>
        <w:tc>
          <w:p>
            <w:pPr>
              <w:pStyle w:val="Table01Row"/>
            </w:pPr>
            <w:r>
              <w:rPr/>
              <w:t xml:space="preserve">29 Aug 2001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 (Narngulu to Geraldton) Act 2001</vt:lpwstr>
  </property>
  <property pid="3" name="IDAct" fmtid="{D5CDD505-2E9C-101B-9397-08002B2CF9AE}">
    <vt:lpwstr>2082</vt:lpwstr>
  </property>
  <property pid="4" name="ChangedDate" fmtid="{D5CDD505-2E9C-101B-9397-08002B2CF9AE}">
    <vt:lpwstr>20260804143231</vt:lpwstr>
  </property>
</Properties>
</file>