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Criminal Investigation (Identifying People) Act 2002</w:t>
      </w:r>
    </w:p>
    <w:p>
      <w:pPr>
        <w:pStyle w:val="Table01Note"/>
      </w:pPr>
      <w:r>
        <w:rPr/>
        <w:t xml:space="preserve">Note: In order to give effect to the Cross‑border Justice Act 2008, the Criminal Investigation (Identifying People) Act 2002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Police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Police Service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(Identifying People) Act 2002</w:t>
            </w:r>
          </w:p>
        </w:tc>
        <w:tc>
          <w:p>
            <w:pPr>
              <w:pStyle w:val="Table01Row"/>
            </w:pPr>
            <w:r>
              <w:t>2002/006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s. 1 &amp; 2: 4 Jun 2002;</w:t>
            </w:r>
          </w:p>
          <w:p>
            <w:pPr>
              <w:pStyle w:val="Table01Row"/>
            </w:pPr>
            <w:r>
              <w:rPr/>
              <w:t xml:space="preserve">Act other than s. 1 &amp; 2, Pt. 4‑7 &amp; Sch. 2 cl. 1, 3 &amp; 5(2): 29 Jun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Jun 2002 p. 3037);</w:t>
            </w:r>
          </w:p>
          <w:p>
            <w:pPr>
              <w:pStyle w:val="Table01Row"/>
            </w:pPr>
            <w:r>
              <w:rPr/>
              <w:t xml:space="preserve">Pt. 4‑7 &amp; Sch. 2 cl. 1, 3 &amp; 5(2): 20 Nov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2002 p. 5505)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(Equality of Status) Act 2003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2003/028</w:t>
            </w:r>
          </w:p>
        </w:tc>
        <w:tc>
          <w:p>
            <w:pPr>
              <w:pStyle w:val="Table01Row"/>
            </w:pPr>
            <w:r>
              <w:t>22 May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2003 p. 2579)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Act 2004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2004/027</w:t>
            </w:r>
          </w:p>
        </w:tc>
        <w:tc>
          <w:p>
            <w:pPr>
              <w:pStyle w:val="Table01Row"/>
            </w:pPr>
            <w:r>
              <w:t>14 Oct 2004</w:t>
            </w:r>
          </w:p>
        </w:tc>
        <w:tc>
          <w:p>
            <w:pPr>
              <w:pStyle w:val="Table01Row"/>
            </w:pPr>
            <w:r>
              <w:rPr/>
              <w:t xml:space="preserve">31 May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2006 p. 1965)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 &amp; 82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Nurses and Midwives Act 2006</w:t>
            </w:r>
            <w:r>
              <w:t xml:space="preserve"> </w:t>
              <w:t>Sch. 3 cl. 7</w:t>
            </w:r>
          </w:p>
        </w:tc>
        <w:tc>
          <w:p>
            <w:pPr>
              <w:pStyle w:val="Table01Row"/>
            </w:pPr>
            <w:r>
              <w:t>2006/050</w:t>
            </w:r>
          </w:p>
        </w:tc>
        <w:tc>
          <w:p>
            <w:pPr>
              <w:pStyle w:val="Table01Row"/>
            </w:pPr>
            <w:r>
              <w:t>6 Oct 2006</w:t>
            </w:r>
          </w:p>
        </w:tc>
        <w:tc>
          <w:p>
            <w:pPr>
              <w:pStyle w:val="Table01Row"/>
            </w:pPr>
            <w:r>
              <w:rPr/>
              <w:t xml:space="preserve">19 Sep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Sep 2007 p. 4711)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10 Nov 2006 (not including 2006/050)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Pt. 7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15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18 Sep 2009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16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Control Amendment Act 2010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2010/056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17 Jan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2010 p. 6887)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Prohibited Behaviour Orders Act 2010</w:t>
            </w:r>
            <w:r>
              <w:t xml:space="preserve"> </w:t>
              <w:t>Pt. 5 Div. 3</w:t>
            </w:r>
          </w:p>
        </w:tc>
        <w:tc>
          <w:p>
            <w:pPr>
              <w:pStyle w:val="Table01Row"/>
            </w:pPr>
            <w:r>
              <w:t>2010/059</w:t>
            </w:r>
          </w:p>
        </w:tc>
        <w:tc>
          <w:p>
            <w:pPr>
              <w:pStyle w:val="Table01Row"/>
            </w:pPr>
            <w:r>
              <w:t>8 Dec 2010</w:t>
            </w:r>
          </w:p>
        </w:tc>
        <w:tc>
          <w:p>
            <w:pPr>
              <w:pStyle w:val="Table01Row"/>
            </w:pPr>
            <w:r>
              <w:rPr/>
              <w:t xml:space="preserve">23 Feb 2011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Feb 2011 p. 633)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(Identifying People) Amendment Act 2011</w:t>
            </w:r>
          </w:p>
        </w:tc>
        <w:tc>
          <w:p>
            <w:pPr>
              <w:pStyle w:val="Table01Row"/>
            </w:pPr>
            <w:r>
              <w:t>2011/015</w:t>
            </w:r>
          </w:p>
        </w:tc>
        <w:tc>
          <w:p>
            <w:pPr>
              <w:pStyle w:val="Table01Row"/>
            </w:pPr>
            <w:r>
              <w:t>25 May 2011</w:t>
            </w:r>
          </w:p>
        </w:tc>
        <w:tc>
          <w:p>
            <w:pPr>
              <w:pStyle w:val="Table01Row"/>
            </w:pPr>
            <w:r>
              <w:rPr/>
              <w:t xml:space="preserve">s. 1 &amp; 2: 25 May 2011 (see s. 2(a));</w:t>
            </w:r>
          </w:p>
          <w:p>
            <w:pPr>
              <w:pStyle w:val="Table01Row"/>
            </w:pPr>
            <w:r>
              <w:rPr/>
              <w:t xml:space="preserve">Act other than s. 1 &amp; 2: 26 May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27 Jan 2012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Amendment Act 2012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2012/001</w:t>
            </w:r>
          </w:p>
        </w:tc>
        <w:tc>
          <w:p>
            <w:pPr>
              <w:pStyle w:val="Table01Row"/>
            </w:pPr>
            <w:r>
              <w:t>15 Mar 2012</w:t>
            </w:r>
          </w:p>
        </w:tc>
        <w:tc>
          <w:p>
            <w:pPr>
              <w:pStyle w:val="Table01Row"/>
            </w:pPr>
            <w:r>
              <w:rPr/>
              <w:t xml:space="preserve">1 Jul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2012 p. 2777)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Amendment (Double Jeopardy) Act 2012</w:t>
            </w:r>
            <w:r>
              <w:t xml:space="preserve"> </w:t>
              <w:t>s. 9</w:t>
            </w:r>
          </w:p>
        </w:tc>
        <w:tc>
          <w:p>
            <w:pPr>
              <w:pStyle w:val="Table01Row"/>
            </w:pPr>
            <w:r>
              <w:t>2012/009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26 Sep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25 Sep 2012 p. 4499)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Fines, Penalties and Infringement Notices Enforcement Amendment Act 2012</w:t>
            </w:r>
            <w:r>
              <w:t xml:space="preserve"> </w:t>
              <w:t>Pt. 4 Div. 1</w:t>
            </w:r>
          </w:p>
        </w:tc>
        <w:tc>
          <w:p>
            <w:pPr>
              <w:pStyle w:val="Table01Row"/>
            </w:pPr>
            <w:r>
              <w:t>2012/048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21 Aug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20 Aug 2013 p. 3815)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</w:t>
              <w:t>s. 175</w:t>
            </w:r>
          </w:p>
        </w:tc>
        <w:tc>
          <w:p>
            <w:pPr>
              <w:pStyle w:val="Table01Row"/>
            </w:pPr>
            <w:r>
              <w:t>2012/049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(Identifying People) Amendment Act 2013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2013/022</w:t>
            </w:r>
          </w:p>
        </w:tc>
        <w:tc>
          <w:p>
            <w:pPr>
              <w:pStyle w:val="Table01Row"/>
            </w:pPr>
            <w:r>
              <w:t>12 Nov 2013</w:t>
            </w:r>
          </w:p>
        </w:tc>
        <w:tc>
          <w:p>
            <w:pPr>
              <w:pStyle w:val="Table01Row"/>
            </w:pPr>
            <w:r>
              <w:rPr/>
              <w:t xml:space="preserve">Pt. 2 other than s. 28: 13 Nov 2013 (see s. 2(c));</w:t>
            </w:r>
          </w:p>
          <w:p>
            <w:pPr>
              <w:pStyle w:val="Table01Row"/>
            </w:pPr>
            <w:r>
              <w:rPr/>
              <w:t xml:space="preserve">s. 28: 16 Apr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15 Apr 2014 p. 1053)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14 Mar 2014 (not including 2013/022 s. 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2014</w:t>
            </w:r>
            <w:r>
              <w:t xml:space="preserve"> </w:t>
              <w:t>s. 6</w:t>
            </w:r>
          </w:p>
        </w:tc>
        <w:tc>
          <w:p>
            <w:pPr>
              <w:pStyle w:val="Table01Row"/>
            </w:pPr>
            <w:r>
              <w:t>2014/017</w:t>
            </w:r>
          </w:p>
        </w:tc>
        <w:tc>
          <w:p>
            <w:pPr>
              <w:pStyle w:val="Table01Row"/>
            </w:pPr>
            <w:r>
              <w:t>2 Jul 2014</w:t>
            </w:r>
          </w:p>
        </w:tc>
        <w:tc>
          <w:p>
            <w:pPr>
              <w:pStyle w:val="Table01Row"/>
            </w:pPr>
            <w:r>
              <w:rPr/>
              <w:t xml:space="preserve">6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Sep 2014 p. 3213)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Amendment Act 2018</w:t>
            </w:r>
            <w:r>
              <w:t xml:space="preserve"> </w:t>
              <w:t>s. 107</w:t>
            </w:r>
          </w:p>
        </w:tc>
        <w:tc>
          <w:p>
            <w:pPr>
              <w:pStyle w:val="Table01Row"/>
            </w:pPr>
            <w:r>
              <w:t>2018/004</w:t>
            </w:r>
          </w:p>
        </w:tc>
        <w:tc>
          <w:p>
            <w:pPr>
              <w:pStyle w:val="Table01Row"/>
            </w:pPr>
            <w:r>
              <w:t>19 Apr 2018</w:t>
            </w:r>
          </w:p>
        </w:tc>
        <w:tc>
          <w:p>
            <w:pPr>
              <w:pStyle w:val="Table01Row"/>
            </w:pPr>
            <w:r>
              <w:rPr/>
              <w:t xml:space="preserve">1 Dec 2018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2018 p. 4427‑8)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s. 58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Control Amendment (Protected Entertainment Precincts) Act 2022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2022/044</w:t>
            </w:r>
          </w:p>
        </w:tc>
        <w:tc>
          <w:p>
            <w:pPr>
              <w:pStyle w:val="Table01Row"/>
            </w:pPr>
            <w:r>
              <w:t>1 Dec 2022</w:t>
            </w:r>
          </w:p>
        </w:tc>
        <w:tc>
          <w:p>
            <w:pPr>
              <w:pStyle w:val="Table01Row"/>
            </w:pPr>
            <w:r>
              <w:rPr/>
              <w:t xml:space="preserve">24 Dec 2022 (see s. 2(b) see SL 2022/216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8, s. 409 &amp; 412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Liquor Control Amendment (Banned Drinkers Register) Act 2023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2023/025</w:t>
            </w:r>
          </w:p>
        </w:tc>
        <w:tc>
          <w:p>
            <w:pPr>
              <w:pStyle w:val="Table01Row"/>
            </w:pPr>
            <w:r>
              <w:t>10 Nov 2023</w:t>
            </w:r>
          </w:p>
        </w:tc>
        <w:tc>
          <w:p>
            <w:pPr>
              <w:pStyle w:val="Table01Row"/>
            </w:pPr>
            <w:r>
              <w:rPr/>
              <w:t xml:space="preserve">Pt. 3 (other than s. 34): 14 Dec 2023 (see s. 2(b) and SL 2023/191 cl. 2);</w:t>
            </w:r>
          </w:p>
          <w:p>
            <w:pPr>
              <w:pStyle w:val="Table01Row"/>
            </w:pPr>
            <w:r>
              <w:rPr/>
              <w:t xml:space="preserve">s. 34: deleted by 2025/020 s. 129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Births, Deaths and Marriages Registration Amendment (Sex or Gender Changes) Act 2024</w:t>
            </w:r>
            <w:r>
              <w:t xml:space="preserve"> </w:t>
              <w:t>Pt. 4 Div. 6</w:t>
            </w:r>
          </w:p>
        </w:tc>
        <w:tc>
          <w:p>
            <w:pPr>
              <w:pStyle w:val="Table01Row"/>
            </w:pPr>
            <w:r>
              <w:t>2024/031</w:t>
            </w:r>
          </w:p>
        </w:tc>
        <w:tc>
          <w:p>
            <w:pPr>
              <w:pStyle w:val="Table01Row"/>
            </w:pPr>
            <w:r>
              <w:t>26 Sep 2024</w:t>
            </w:r>
          </w:p>
        </w:tc>
        <w:tc>
          <w:p>
            <w:pPr>
              <w:pStyle w:val="Table01Row"/>
            </w:pPr>
            <w:r>
              <w:rPr/>
              <w:t xml:space="preserve">30 May 2025 (see s. 2(b) and SL 2025/80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Protection (Offender Reporting) Amendment Act 2024</w:t>
            </w:r>
            <w:r>
              <w:t xml:space="preserve"> </w:t>
              <w:t>Pt. 2 Div. 2 Subdiv. 1 &amp; Pt. 3 Div. 2 Subdiv. 2</w:t>
            </w:r>
          </w:p>
        </w:tc>
        <w:tc>
          <w:p>
            <w:pPr>
              <w:pStyle w:val="Table01Row"/>
            </w:pPr>
            <w:r>
              <w:t>2024/035</w:t>
            </w:r>
          </w:p>
        </w:tc>
        <w:tc>
          <w:p>
            <w:pPr>
              <w:pStyle w:val="Table01Row"/>
            </w:pPr>
            <w:r>
              <w:t>22 Oct 2024</w:t>
            </w:r>
          </w:p>
        </w:tc>
        <w:tc>
          <w:p>
            <w:pPr>
              <w:pStyle w:val="Table01Row"/>
            </w:pPr>
            <w:r>
              <w:rPr/>
              <w:t xml:space="preserve">Pt. 2 Div. 2 Subdiv. 1: 28 Jul 2025 (see s. 2(b) and SL 2025/137 cl. 2);</w:t>
            </w:r>
          </w:p>
          <w:p>
            <w:pPr>
              <w:pStyle w:val="Table01Row"/>
            </w:pPr>
            <w:r>
              <w:rPr/>
              <w:t xml:space="preserve">Pt. 3 Div. 2 Subdiv. 2: 31 Dec 2025 (see s. 2(b) and SL 2025/201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Criminal Investigation (Identifying People) Act 2002</vt:lpwstr>
  </property>
  <property pid="3" name="IDAct" fmtid="{D5CDD505-2E9C-101B-9397-08002B2CF9AE}">
    <vt:lpwstr>2113</vt:lpwstr>
  </property>
  <property pid="4" name="ChangedDate" fmtid="{D5CDD505-2E9C-101B-9397-08002B2CF9AE}">
    <vt:lpwstr>20250404102611</vt:lpwstr>
  </property>
</Properties>
</file>