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D</w:t>
      </w:r>
    </w:p>
    <w:p>
      <w:pPr>
        <w:pStyle w:val="IActName"/>
      </w:pPr>
      <w:r>
        <w:t>Deputy Governor’s Powers Act 1911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Premier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the Premier and Cabinet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Deputy Governor’s Powers Act 1911</w:t>
            </w:r>
          </w:p>
        </w:tc>
        <w:tc>
          <w:p>
            <w:pPr>
              <w:pStyle w:val="Table01Row"/>
            </w:pPr>
            <w:r>
              <w:t>1912/016 (2 Geo. V No. 24)</w:t>
            </w:r>
          </w:p>
        </w:tc>
        <w:tc>
          <w:p>
            <w:pPr>
              <w:pStyle w:val="Table01Row"/>
            </w:pPr>
            <w:r>
              <w:t>15 Jan 1912</w:t>
            </w:r>
          </w:p>
        </w:tc>
        <w:tc>
          <w:p>
            <w:pPr>
              <w:pStyle w:val="Table01Row"/>
            </w:pPr>
            <w:r>
              <w:rPr/>
              <w:t xml:space="preserve">15 Jan 1912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5 May 2000 (correction in Gazette 2 Nov 2012 p. 5261)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20 Mar 2015 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Deputy Governor's Powers Act 1911</vt:lpwstr>
  </property>
  <property pid="3" name="IDAct" fmtid="{D5CDD505-2E9C-101B-9397-08002B2CF9AE}">
    <vt:lpwstr>221</vt:lpwstr>
  </property>
  <property pid="4" name="ChangedDate" fmtid="{D5CDD505-2E9C-101B-9397-08002B2CF9AE}">
    <vt:lpwstr>20250404094514</vt:lpwstr>
  </property>
</Properties>
</file>