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D</w:t>
      </w:r>
    </w:p>
    <w:p>
      <w:pPr>
        <w:pStyle w:val="IActName"/>
      </w:pPr>
      <w:r>
        <w:t>Disposal of Uncollected Goods Act 1970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Commerce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Department of Local Government, Industry Regulation and Safety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Disposal of Uncollected Goods Act 1970</w:t>
            </w:r>
          </w:p>
        </w:tc>
        <w:tc>
          <w:p>
            <w:pPr>
              <w:pStyle w:val="Table01Row"/>
            </w:pPr>
            <w:r>
              <w:t>1970/121</w:t>
            </w:r>
          </w:p>
        </w:tc>
        <w:tc>
          <w:p>
            <w:pPr>
              <w:pStyle w:val="Table01Row"/>
            </w:pPr>
            <w:r>
              <w:t>10 Dec 1970</w:t>
            </w:r>
          </w:p>
        </w:tc>
        <w:tc>
          <w:p>
            <w:pPr>
              <w:pStyle w:val="Table01Row"/>
            </w:pPr>
            <w:r>
              <w:rPr/>
              <w:t xml:space="preserve">1 Aug 1971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16 Jul 1971 p. 2555)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Residential Tenancies Act 1987</w:t>
            </w:r>
            <w:r>
              <w:t xml:space="preserve"> </w:t>
              <w:t>s. 89</w:t>
            </w:r>
          </w:p>
        </w:tc>
        <w:tc>
          <w:p>
            <w:pPr>
              <w:pStyle w:val="Table01Row"/>
            </w:pPr>
            <w:r>
              <w:t>1987/128</w:t>
            </w:r>
          </w:p>
        </w:tc>
        <w:tc>
          <w:p>
            <w:pPr>
              <w:pStyle w:val="Table01Row"/>
            </w:pPr>
            <w:r>
              <w:t>21 Jan 1988</w:t>
            </w:r>
          </w:p>
        </w:tc>
        <w:tc>
          <w:p>
            <w:pPr>
              <w:pStyle w:val="Table01Row"/>
            </w:pPr>
            <w:r>
              <w:rPr/>
              <w:t xml:space="preserve">1 Oct 1989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18 Aug 1989 p. 2748)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Pawnbrokers and Second‑hand Dealers Act 1994</w:t>
            </w:r>
            <w:r>
              <w:t xml:space="preserve"> </w:t>
              <w:t>s. 100</w:t>
            </w:r>
          </w:p>
        </w:tc>
        <w:tc>
          <w:p>
            <w:pPr>
              <w:pStyle w:val="Table01Row"/>
            </w:pPr>
            <w:r>
              <w:t>1994/088</w:t>
            </w:r>
          </w:p>
        </w:tc>
        <w:tc>
          <w:p>
            <w:pPr>
              <w:pStyle w:val="Table01Row"/>
            </w:pPr>
            <w:r>
              <w:t>5 Jan 1995</w:t>
            </w:r>
          </w:p>
        </w:tc>
        <w:tc>
          <w:p>
            <w:pPr>
              <w:pStyle w:val="Table01Row"/>
            </w:pPr>
            <w:r>
              <w:rPr/>
              <w:t xml:space="preserve">1 Apr 1996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29 Mar 1996 p. 1495)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Sentencing (Consequential Provisions) Act 1995</w:t>
            </w:r>
            <w:r>
              <w:t xml:space="preserve"> </w:t>
              <w:t>s. 147</w:t>
            </w:r>
          </w:p>
        </w:tc>
        <w:tc>
          <w:p>
            <w:pPr>
              <w:pStyle w:val="Table01Row"/>
            </w:pPr>
            <w:r>
              <w:t>1995/078</w:t>
            </w:r>
          </w:p>
        </w:tc>
        <w:tc>
          <w:p>
            <w:pPr>
              <w:pStyle w:val="Table01Row"/>
            </w:pPr>
            <w:r>
              <w:t>16 Jan 1996</w:t>
            </w:r>
          </w:p>
        </w:tc>
        <w:tc>
          <w:p>
            <w:pPr>
              <w:pStyle w:val="Table01Row"/>
            </w:pPr>
            <w:r>
              <w:rPr/>
              <w:t xml:space="preserve">4 Nov 1996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25 Oct 1996 p. 5632)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Statutes (Repeals and Minor Amendments) Act (No. 2) 1998</w:t>
            </w:r>
            <w:r>
              <w:t xml:space="preserve"> </w:t>
              <w:t>s. 76</w:t>
            </w:r>
          </w:p>
        </w:tc>
        <w:tc>
          <w:p>
            <w:pPr>
              <w:pStyle w:val="Table01Row"/>
            </w:pPr>
            <w:r>
              <w:t>1998/010</w:t>
            </w:r>
          </w:p>
        </w:tc>
        <w:tc>
          <w:p>
            <w:pPr>
              <w:pStyle w:val="Table01Row"/>
            </w:pPr>
            <w:r>
              <w:t>30 Apr 1998</w:t>
            </w:r>
          </w:p>
        </w:tc>
        <w:tc>
          <w:p>
            <w:pPr>
              <w:pStyle w:val="Table01Row"/>
            </w:pPr>
            <w:r>
              <w:rPr/>
              <w:t xml:space="preserve">30 Apr 1998 (see s. 2(1))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Port Authorities (Consequential Provisions) Act 1999</w:t>
            </w:r>
            <w:r>
              <w:t xml:space="preserve"> </w:t>
              <w:t>s. 21</w:t>
            </w:r>
          </w:p>
        </w:tc>
        <w:tc>
          <w:p>
            <w:pPr>
              <w:pStyle w:val="Table01Row"/>
            </w:pPr>
            <w:r>
              <w:t>1999/005</w:t>
            </w:r>
          </w:p>
        </w:tc>
        <w:tc>
          <w:p>
            <w:pPr>
              <w:pStyle w:val="Table01Row"/>
            </w:pPr>
            <w:r>
              <w:t>13 Apr 1999</w:t>
            </w:r>
          </w:p>
        </w:tc>
        <w:tc>
          <w:p>
            <w:pPr>
              <w:pStyle w:val="Table01Row"/>
            </w:pPr>
            <w:r>
              <w:rPr/>
              <w:t xml:space="preserve">14 Aug 1999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13 Aug 1999 p. 3823)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Perth Parking Management (Consequential Provisions) Act 1999</w:t>
            </w:r>
            <w:r>
              <w:t xml:space="preserve"> </w:t>
              <w:t>s. 7(1)</w:t>
            </w:r>
          </w:p>
        </w:tc>
        <w:tc>
          <w:p>
            <w:pPr>
              <w:pStyle w:val="Table01Row"/>
            </w:pPr>
            <w:r>
              <w:t>1999/016</w:t>
            </w:r>
          </w:p>
        </w:tc>
        <w:tc>
          <w:p>
            <w:pPr>
              <w:pStyle w:val="Table01Row"/>
            </w:pPr>
            <w:r>
              <w:t>19 May 1999</w:t>
            </w:r>
          </w:p>
        </w:tc>
        <w:tc>
          <w:p>
            <w:pPr>
              <w:pStyle w:val="Table01Row"/>
            </w:pPr>
            <w:r>
              <w:rPr/>
              <w:t xml:space="preserve">7 Aug 1999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6 Aug 1999 p. 3727)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Reprinted as at 14 Jan 2000 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Public Transport Authority Act 2003</w:t>
            </w:r>
            <w:r>
              <w:t xml:space="preserve"> </w:t>
              <w:t>s. 157 &amp; 203</w:t>
            </w:r>
          </w:p>
        </w:tc>
        <w:tc>
          <w:p>
            <w:pPr>
              <w:pStyle w:val="Table01Row"/>
            </w:pPr>
            <w:r>
              <w:t>2003/031</w:t>
            </w:r>
          </w:p>
        </w:tc>
        <w:tc>
          <w:p>
            <w:pPr>
              <w:pStyle w:val="Table01Row"/>
            </w:pPr>
            <w:r>
              <w:t>26 May 2003</w:t>
            </w:r>
          </w:p>
        </w:tc>
        <w:tc>
          <w:p>
            <w:pPr>
              <w:pStyle w:val="Table01Row"/>
            </w:pPr>
            <w:r>
              <w:rPr/>
              <w:t xml:space="preserve">1 Jul 2003 (see s. 2(1) and </w:t>
            </w:r>
            <w:r>
              <w:rPr>
                <w:i/>
              </w:rPr>
              <w:t xml:space="preserve">Gazette</w:t>
            </w:r>
            <w:r>
              <w:rPr/>
              <w:t xml:space="preserve"> 27 Jun 2003 p. 2384)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Courts Legislation Amendment and Repeal Act 2004</w:t>
            </w:r>
            <w:r>
              <w:t xml:space="preserve"> </w:t>
              <w:t>s. 141</w:t>
            </w:r>
          </w:p>
        </w:tc>
        <w:tc>
          <w:p>
            <w:pPr>
              <w:pStyle w:val="Table01Row"/>
            </w:pPr>
            <w:r>
              <w:t>2004/059</w:t>
            </w:r>
          </w:p>
        </w:tc>
        <w:tc>
          <w:p>
            <w:pPr>
              <w:pStyle w:val="Table01Row"/>
            </w:pPr>
            <w:r>
              <w:t>23 Nov 2004</w:t>
            </w:r>
          </w:p>
        </w:tc>
        <w:tc>
          <w:p>
            <w:pPr>
              <w:pStyle w:val="Table01Row"/>
            </w:pPr>
            <w:r>
              <w:rPr/>
              <w:t xml:space="preserve">1 May 2005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31 Dec 2004 p. 7128)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Criminal Investigation (Consequential Provisions) Act 2006</w:t>
            </w:r>
            <w:r>
              <w:t xml:space="preserve"> </w:t>
              <w:t>s. 73</w:t>
            </w:r>
          </w:p>
        </w:tc>
        <w:tc>
          <w:p>
            <w:pPr>
              <w:pStyle w:val="Table01Row"/>
            </w:pPr>
            <w:r>
              <w:t>2006/059</w:t>
            </w:r>
          </w:p>
        </w:tc>
        <w:tc>
          <w:p>
            <w:pPr>
              <w:pStyle w:val="Table01Row"/>
            </w:pPr>
            <w:r>
              <w:t>16 Nov 2006</w:t>
            </w:r>
          </w:p>
        </w:tc>
        <w:tc>
          <w:p>
            <w:pPr>
              <w:pStyle w:val="Table01Row"/>
            </w:pPr>
            <w:r>
              <w:rPr/>
              <w:t xml:space="preserve">1 Jul 2007 (see s. 2 and </w:t>
            </w:r>
            <w:r>
              <w:rPr>
                <w:i/>
              </w:rPr>
              <w:t xml:space="preserve">Gazette</w:t>
            </w:r>
            <w:r>
              <w:rPr/>
              <w:t xml:space="preserve"> 22 Jun 2007 p. 2838)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Standardisation of Formatting Act 2010</w:t>
            </w:r>
            <w:r>
              <w:t xml:space="preserve"> </w:t>
              <w:t>s. 4</w:t>
            </w:r>
          </w:p>
        </w:tc>
        <w:tc>
          <w:p>
            <w:pPr>
              <w:pStyle w:val="Table01Row"/>
            </w:pPr>
            <w:r>
              <w:t>2010/019</w:t>
            </w:r>
          </w:p>
        </w:tc>
        <w:tc>
          <w:p>
            <w:pPr>
              <w:pStyle w:val="Table01Row"/>
            </w:pPr>
            <w:r>
              <w:t>28 Jun 2010</w:t>
            </w:r>
          </w:p>
        </w:tc>
        <w:tc>
          <w:p>
            <w:pPr>
              <w:pStyle w:val="Table01Row"/>
            </w:pPr>
            <w:r>
              <w:rPr/>
              <w:t xml:space="preserve">11 Sep 2010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10 Sep 2010 p. 4341)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Residential Tenancies Amendment Act 2011</w:t>
            </w:r>
            <w:r>
              <w:t xml:space="preserve"> </w:t>
              <w:t>Pt. 5 Div. 1</w:t>
            </w:r>
          </w:p>
        </w:tc>
        <w:tc>
          <w:p>
            <w:pPr>
              <w:pStyle w:val="Table01Row"/>
            </w:pPr>
            <w:r>
              <w:t>2011/060</w:t>
            </w:r>
          </w:p>
        </w:tc>
        <w:tc>
          <w:p>
            <w:pPr>
              <w:pStyle w:val="Table01Row"/>
            </w:pPr>
            <w:r>
              <w:t>14 Dec 2011</w:t>
            </w:r>
          </w:p>
        </w:tc>
        <w:tc>
          <w:p>
            <w:pPr>
              <w:pStyle w:val="Table01Row"/>
            </w:pPr>
            <w:r>
              <w:rPr/>
              <w:t xml:space="preserve">1 Jul 2013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3 May 2013 p. 1735)</w:t>
            </w:r>
          </w:p>
        </w:tc>
      </w:tr>
      <w:tr>
        <w:trPr>
          <w:cantSplit/>
        </w:trPr>
        <w:tc>
          <w:tcPr>
            <w:gridSpan w:val="4"/>
          </w:tcPr>
          <w:p>
            <w:pPr>
              <w:pStyle w:val="Table01Row"/>
            </w:pPr>
            <w:r>
              <w:rPr>
                <w:b/>
              </w:rPr>
              <w:t>Reprint 2 as at 1 Feb 2013 (not including 2011/060)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Disposal of Uncollected Goods Amendment Act 2016</w:t>
            </w:r>
          </w:p>
        </w:tc>
        <w:tc>
          <w:p>
            <w:pPr>
              <w:pStyle w:val="Table01Row"/>
            </w:pPr>
            <w:r>
              <w:t>2016/043</w:t>
            </w:r>
          </w:p>
        </w:tc>
        <w:tc>
          <w:p>
            <w:pPr>
              <w:pStyle w:val="Table01Row"/>
            </w:pPr>
            <w:r>
              <w:t>1 Dec 2016</w:t>
            </w:r>
          </w:p>
        </w:tc>
        <w:tc>
          <w:p>
            <w:pPr>
              <w:pStyle w:val="Table01Row"/>
            </w:pPr>
            <w:r>
              <w:rPr/>
              <w:t xml:space="preserve">s. 1 &amp; 2: 1 Dec 2016 (see s. 2(a));</w:t>
            </w:r>
          </w:p>
          <w:p>
            <w:pPr>
              <w:pStyle w:val="Table01Row"/>
            </w:pPr>
            <w:r>
              <w:rPr/>
              <w:t xml:space="preserve">Act other than s. 1 &amp; 2: 10 Jun 2017 (see s. 2(b) &amp; </w:t>
            </w:r>
            <w:r>
              <w:rPr>
                <w:i/>
              </w:rPr>
              <w:t xml:space="preserve">Gazette</w:t>
            </w:r>
            <w:r>
              <w:rPr/>
              <w:t xml:space="preserve"> 9 Jun 2017 p. 2849)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Firearms Act 2024</w:t>
            </w:r>
            <w:r>
              <w:t xml:space="preserve"> </w:t>
              <w:t>Pt. 17 Div. 3 Subdiv. 8</w:t>
            </w:r>
          </w:p>
        </w:tc>
        <w:tc>
          <w:p>
            <w:pPr>
              <w:pStyle w:val="Table01Row"/>
            </w:pPr>
            <w:r>
              <w:t>2024/023</w:t>
            </w:r>
          </w:p>
        </w:tc>
        <w:tc>
          <w:p>
            <w:pPr>
              <w:pStyle w:val="Table01Row"/>
            </w:pPr>
            <w:r>
              <w:t>27 Jun 2024</w:t>
            </w:r>
          </w:p>
        </w:tc>
        <w:tc>
          <w:p>
            <w:pPr>
              <w:pStyle w:val="Table01Row"/>
            </w:pPr>
            <w:r>
              <w:rPr/>
              <w:t xml:space="preserve">31 Mar 2025 (see s. 2(d) and SL 2024/289 cl. 2)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Disposal of Uncollected Goods Act 1970</vt:lpwstr>
  </property>
  <property pid="3" name="IDAct" fmtid="{D5CDD505-2E9C-101B-9397-08002B2CF9AE}">
    <vt:lpwstr>226</vt:lpwstr>
  </property>
  <property pid="4" name="ChangedDate" fmtid="{D5CDD505-2E9C-101B-9397-08002B2CF9AE}">
    <vt:lpwstr>20250404114309</vt:lpwstr>
  </property>
</Properties>
</file>