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Alcohol and Other Drugs Act 1974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Alcohol and Drug Authority Act 1974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Mental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Mental Health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Alcohol and Drug Authority Act 1974</w:t>
            </w:r>
          </w:p>
        </w:tc>
        <w:tc>
          <w:p>
            <w:pPr>
              <w:pStyle w:val="Table01Row"/>
            </w:pPr>
            <w:r>
              <w:t>1974/032</w:t>
            </w:r>
          </w:p>
        </w:tc>
        <w:tc>
          <w:p>
            <w:pPr>
              <w:pStyle w:val="Table01Row"/>
            </w:pPr>
            <w:r>
              <w:t>4 Nov 1974</w:t>
            </w:r>
          </w:p>
        </w:tc>
        <w:tc>
          <w:p>
            <w:pPr>
              <w:pStyle w:val="Table01Row"/>
            </w:pPr>
            <w:r>
              <w:rPr/>
              <w:t xml:space="preserve">29 Nov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1974 p. 5167)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(Disqualification for Parliament) Act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1984/078</w:t>
            </w:r>
          </w:p>
        </w:tc>
        <w:tc>
          <w:p>
            <w:pPr>
              <w:pStyle w:val="Table01Row"/>
            </w:pPr>
            <w:r>
              <w:t>14 Nov 1984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1985 p. 1671)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48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Apr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Feb 2010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Alcohol and Drug Authority Amendment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2015/003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s. 13: 25 Feb 2015 (see s. 2(a));</w:t>
            </w:r>
          </w:p>
          <w:p>
            <w:pPr>
              <w:pStyle w:val="Table01Row"/>
            </w:pPr>
            <w:r>
              <w:rPr/>
              <w:t xml:space="preserve">Pt. 2 other than s. 13: 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Apr 2015 p. 1249)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5 Feb 2016 (not including 2000/043)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Alcohol and Other Drugs Act 1974</vt:lpwstr>
  </property>
  <property pid="3" name="IDAct" fmtid="{D5CDD505-2E9C-101B-9397-08002B2CF9AE}">
    <vt:lpwstr>27</vt:lpwstr>
  </property>
  <property pid="4" name="ChangedDate" fmtid="{D5CDD505-2E9C-101B-9397-08002B2CF9AE}">
    <vt:lpwstr>20250422120412</vt:lpwstr>
  </property>
</Properties>
</file>