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Aboriginal Communities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Aboriginal Affairs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Communities Act 1979</w:t>
            </w:r>
          </w:p>
        </w:tc>
        <w:tc>
          <w:p>
            <w:pPr>
              <w:pStyle w:val="Table01Row"/>
            </w:pPr>
            <w:r>
              <w:t>1979/008</w:t>
            </w:r>
          </w:p>
        </w:tc>
        <w:tc>
          <w:p>
            <w:pPr>
              <w:pStyle w:val="Table01Row"/>
            </w:pPr>
            <w:r>
              <w:t>17 May 1979</w:t>
            </w:r>
          </w:p>
        </w:tc>
        <w:tc>
          <w:p>
            <w:pPr>
              <w:pStyle w:val="Table01Row"/>
            </w:pPr>
            <w:r>
              <w:rPr/>
              <w:t xml:space="preserve">15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Feb 1980 p. 456)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Sep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Aboriginal Communities Act 1979</vt:lpwstr>
  </property>
  <property pid="3" name="IDAct" fmtid="{D5CDD505-2E9C-101B-9397-08002B2CF9AE}">
    <vt:lpwstr>2</vt:lpwstr>
  </property>
  <property pid="4" name="ChangedDate" fmtid="{D5CDD505-2E9C-101B-9397-08002B2CF9AE}">
    <vt:lpwstr>20250404095330</vt:lpwstr>
  </property>
</Properties>
</file>