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Gaming and Betting (Contracts and Securities)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and Betting (Contracts and Securities) Act 1985</w:t>
            </w:r>
          </w:p>
        </w:tc>
        <w:tc>
          <w:p>
            <w:pPr>
              <w:pStyle w:val="Table01Row"/>
            </w:pPr>
            <w:r>
              <w:t>1985/028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s. 1 &amp; 2: 24 Apr 1985;</w:t>
            </w:r>
          </w:p>
          <w:p>
            <w:pPr>
              <w:pStyle w:val="Table01Row"/>
            </w:pPr>
            <w:r>
              <w:rPr/>
              <w:t xml:space="preserve">Act other than s. 1 &amp; 2: 1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May 1985 p. 1878)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1998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1998/026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22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27 Feb 2004 (correction in Gazette 6 Apr 2004 p. 1134)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150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Gaming and Betting (Contracts and Securities) Act 1985</vt:lpwstr>
  </property>
  <property pid="3" name="IDAct" fmtid="{D5CDD505-2E9C-101B-9397-08002B2CF9AE}">
    <vt:lpwstr>310</vt:lpwstr>
  </property>
  <property pid="4" name="ChangedDate" fmtid="{D5CDD505-2E9C-101B-9397-08002B2CF9AE}">
    <vt:lpwstr>20260804142635</vt:lpwstr>
  </property>
</Properties>
</file>