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Goldfields Gas Pipeline Agreement Act 1994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Goldfields Gas Pipeline Agreement Act 1994</w:t>
            </w:r>
          </w:p>
        </w:tc>
        <w:tc>
          <w:p>
            <w:pPr>
              <w:pStyle w:val="Table01Row"/>
            </w:pPr>
            <w:r>
              <w:t>1994/019</w:t>
            </w:r>
          </w:p>
        </w:tc>
        <w:tc>
          <w:p>
            <w:pPr>
              <w:pStyle w:val="Table01Row"/>
            </w:pPr>
            <w:r>
              <w:t>3 May 1994</w:t>
            </w:r>
          </w:p>
        </w:tc>
        <w:tc>
          <w:p>
            <w:pPr>
              <w:pStyle w:val="Table01Row"/>
            </w:pPr>
            <w:r>
              <w:rPr/>
              <w:t xml:space="preserve">3 May 1994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16 Apr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Goldfields Gas Pipeline Agreement Act 1994</vt:lpwstr>
  </property>
  <property pid="3" name="IDAct" fmtid="{D5CDD505-2E9C-101B-9397-08002B2CF9AE}">
    <vt:lpwstr>323</vt:lpwstr>
  </property>
  <property pid="4" name="ChangedDate" fmtid="{D5CDD505-2E9C-101B-9397-08002B2CF9AE}">
    <vt:lpwstr>20260804144845</vt:lpwstr>
  </property>
</Properties>
</file>