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s. 1 &amp; 2: 1 Dec 1976 (see s. 2(1));</w:t>
            </w:r>
          </w:p>
          <w:p>
            <w:pPr>
              <w:pStyle w:val="Table01Row"/>
            </w:pPr>
            <w:r>
              <w:rPr/>
              <w:t xml:space="preserve">Act other than s. 1 &amp; 2: 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May 2000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6 Mar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Act 1976</vt:lpwstr>
  </property>
  <property pid="3" name="IDAct" fmtid="{D5CDD505-2E9C-101B-9397-08002B2CF9AE}">
    <vt:lpwstr>37</vt:lpwstr>
  </property>
  <property pid="4" name="ChangedDate" fmtid="{D5CDD505-2E9C-101B-9397-08002B2CF9AE}">
    <vt:lpwstr>20250402124408</vt:lpwstr>
  </property>
</Properties>
</file>