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(Jandakot to Perth)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(Jandakot to Perth) Act 2002</w:t>
            </w:r>
          </w:p>
        </w:tc>
        <w:tc>
          <w:p>
            <w:pPr>
              <w:pStyle w:val="Table01Row"/>
            </w:pPr>
            <w:r>
              <w:t>2002/040</w:t>
            </w:r>
          </w:p>
        </w:tc>
        <w:tc>
          <w:p>
            <w:pPr>
              <w:pStyle w:val="Table01Row"/>
            </w:pPr>
            <w:r>
              <w:t>5 Dec 2002</w:t>
            </w:r>
          </w:p>
        </w:tc>
        <w:tc>
          <w:p>
            <w:pPr>
              <w:pStyle w:val="Table01Row"/>
            </w:pPr>
            <w:r>
              <w:rPr/>
              <w:t xml:space="preserve">5 Dec 2002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(Jandakot to Perth) Act 2002</vt:lpwstr>
  </property>
  <property pid="3" name="IDAct" fmtid="{D5CDD505-2E9C-101B-9397-08002B2CF9AE}">
    <vt:lpwstr>4348</vt:lpwstr>
  </property>
  <property pid="4" name="ChangedDate" fmtid="{D5CDD505-2E9C-101B-9397-08002B2CF9AE}">
    <vt:lpwstr>20260804143231</vt:lpwstr>
  </property>
</Properties>
</file>