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IAlphabetDivider"/>
      </w:pPr>
      <w:r>
        <w:t>L</w:t>
      </w:r>
    </w:p>
    <w:p>
      <w:pPr>
        <w:pStyle w:val="IActName"/>
      </w:pPr>
      <w:r>
        <w:t>Land Tax Act 2002</w:t>
      </w:r>
    </w:p>
    <w:tbl>
      <w:tblPr>
        <w:tblW w:w="0" w:type="auto"/>
        <w:tblLayout w:type="fixed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8505"/>
      </w:tblGrid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Portfolio:</w:t>
            </w:r>
          </w:p>
        </w:tc>
        <w:tc>
          <w:p>
            <w:pPr>
              <w:pStyle w:val="Table01Row"/>
              <w:keepNext/>
            </w:pPr>
            <w:r>
              <w:t>Minister for Finance</w:t>
            </w:r>
          </w:p>
        </w:tc>
      </w:tr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Agency:</w:t>
            </w:r>
          </w:p>
        </w:tc>
        <w:tc>
          <w:p>
            <w:pPr>
              <w:pStyle w:val="Table01Row"/>
              <w:keepNext/>
            </w:pPr>
            <w:r>
              <w:t>Department of Treasury and Finance</w:t>
            </w:r>
          </w:p>
        </w:tc>
      </w:tr>
    </w:tbl>
    <w:p>
      <w:pPr>
        <w:keepNext/>
      </w:pPr>
    </w:p>
    <w:tbl>
      <w:tblPr>
        <w:tblW w:w="0" w:type="auto"/>
        <w:tblLayout w:type="fixed"/>
        <w:jc w:val="center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4253"/>
        <w:gridCol w:w="1134"/>
        <w:gridCol w:w="1134"/>
        <w:gridCol w:w="3686"/>
      </w:tblGrid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Land Tax Act 2002</w:t>
            </w:r>
          </w:p>
        </w:tc>
        <w:tc>
          <w:p>
            <w:pPr>
              <w:pStyle w:val="Table01Row"/>
            </w:pPr>
            <w:r>
              <w:t>2002/051</w:t>
            </w:r>
          </w:p>
        </w:tc>
        <w:tc>
          <w:p>
            <w:pPr>
              <w:pStyle w:val="Table01Row"/>
            </w:pPr>
            <w:r>
              <w:t>20 Mar 2003</w:t>
            </w:r>
          </w:p>
        </w:tc>
        <w:tc>
          <w:p>
            <w:pPr>
              <w:pStyle w:val="Table01Row"/>
            </w:pPr>
            <w:r>
              <w:rPr/>
              <w:t xml:space="preserve">1 Jul 2003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27 Jun 2003 p. 2383)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Business Tax Review (Taxing) Act 2003</w:t>
            </w:r>
            <w:r>
              <w:t xml:space="preserve"> </w:t>
              <w:t>Pt. 2</w:t>
            </w:r>
          </w:p>
        </w:tc>
        <w:tc>
          <w:p>
            <w:pPr>
              <w:pStyle w:val="Table01Row"/>
            </w:pPr>
            <w:r>
              <w:t>2003/041</w:t>
            </w:r>
          </w:p>
        </w:tc>
        <w:tc>
          <w:p>
            <w:pPr>
              <w:pStyle w:val="Table01Row"/>
            </w:pPr>
            <w:r>
              <w:t>30 Jun 2003</w:t>
            </w:r>
          </w:p>
        </w:tc>
        <w:tc>
          <w:p>
            <w:pPr>
              <w:pStyle w:val="Table01Row"/>
            </w:pPr>
            <w:r>
              <w:rPr/>
              <w:t xml:space="preserve">1 Jul 2003 (see s. 2)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Revenue Laws Amendment Act 2004</w:t>
            </w:r>
            <w:r>
              <w:t xml:space="preserve"> </w:t>
              <w:t>Pt. 2</w:t>
            </w:r>
          </w:p>
        </w:tc>
        <w:tc>
          <w:p>
            <w:pPr>
              <w:pStyle w:val="Table01Row"/>
            </w:pPr>
            <w:r>
              <w:t>2004/011</w:t>
            </w:r>
          </w:p>
        </w:tc>
        <w:tc>
          <w:p>
            <w:pPr>
              <w:pStyle w:val="Table01Row"/>
            </w:pPr>
            <w:r>
              <w:t>29 Jun 2004</w:t>
            </w:r>
          </w:p>
        </w:tc>
        <w:tc>
          <w:p>
            <w:pPr>
              <w:pStyle w:val="Table01Row"/>
            </w:pPr>
            <w:r>
              <w:rPr/>
              <w:t xml:space="preserve">1 Jul 2004 (see s. 2(2))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Revenue Laws Amendment (Tax Relief) Act (No. 2) 2004</w:t>
            </w:r>
            <w:r>
              <w:t xml:space="preserve"> </w:t>
              <w:t>Pt. 2</w:t>
            </w:r>
          </w:p>
        </w:tc>
        <w:tc>
          <w:p>
            <w:pPr>
              <w:pStyle w:val="Table01Row"/>
            </w:pPr>
            <w:r>
              <w:t>2004/083</w:t>
            </w:r>
          </w:p>
        </w:tc>
        <w:tc>
          <w:p>
            <w:pPr>
              <w:pStyle w:val="Table01Row"/>
            </w:pPr>
            <w:r>
              <w:t>8 Dec 2004</w:t>
            </w:r>
          </w:p>
        </w:tc>
        <w:tc>
          <w:p>
            <w:pPr>
              <w:pStyle w:val="Table01Row"/>
            </w:pPr>
            <w:r>
              <w:rPr/>
              <w:t xml:space="preserve">8 Dec 2004 (see s. 2)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Revenue Laws Amendment Act (No. 3) 2005</w:t>
            </w:r>
            <w:r>
              <w:t xml:space="preserve"> </w:t>
              <w:t>Pt. 2</w:t>
            </w:r>
          </w:p>
        </w:tc>
        <w:tc>
          <w:p>
            <w:pPr>
              <w:pStyle w:val="Table01Row"/>
            </w:pPr>
            <w:r>
              <w:t>2005/010</w:t>
            </w:r>
          </w:p>
        </w:tc>
        <w:tc>
          <w:p>
            <w:pPr>
              <w:pStyle w:val="Table01Row"/>
            </w:pPr>
            <w:r>
              <w:t>29 Aug 2005</w:t>
            </w:r>
          </w:p>
        </w:tc>
        <w:tc>
          <w:p>
            <w:pPr>
              <w:pStyle w:val="Table01Row"/>
            </w:pPr>
            <w:r>
              <w:rPr/>
              <w:t xml:space="preserve">1 Jul 2005 (see s. 2(2))</w:t>
            </w:r>
          </w:p>
        </w:tc>
      </w:tr>
      <w:tr>
        <w:trPr>
          <w:cantSplit/>
        </w:trPr>
        <w:tc>
          <w:tcPr>
            <w:gridSpan w:val="4"/>
          </w:tcPr>
          <w:p>
            <w:pPr>
              <w:pStyle w:val="Table01Row"/>
            </w:pPr>
            <w:r>
              <w:rPr>
                <w:b/>
              </w:rPr>
              <w:t>Reprint 1 as at 4 Nov 2005 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Revenue Laws Amendment Act 2006</w:t>
            </w:r>
            <w:r>
              <w:t xml:space="preserve"> </w:t>
              <w:t>Pt. 3</w:t>
            </w:r>
          </w:p>
        </w:tc>
        <w:tc>
          <w:p>
            <w:pPr>
              <w:pStyle w:val="Table01Row"/>
            </w:pPr>
            <w:r>
              <w:t>2006/031</w:t>
            </w:r>
          </w:p>
        </w:tc>
        <w:tc>
          <w:p>
            <w:pPr>
              <w:pStyle w:val="Table01Row"/>
            </w:pPr>
            <w:r>
              <w:t>4 Jul 2006</w:t>
            </w:r>
          </w:p>
        </w:tc>
        <w:tc>
          <w:p>
            <w:pPr>
              <w:pStyle w:val="Table01Row"/>
            </w:pPr>
            <w:r>
              <w:rPr/>
              <w:t xml:space="preserve">1 Jul 2006 (see s. 2(5))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Revenue Laws Amendment (Taxation) Act 2007</w:t>
            </w:r>
            <w:r>
              <w:t xml:space="preserve"> </w:t>
              <w:t>Pt. 2</w:t>
            </w:r>
          </w:p>
        </w:tc>
        <w:tc>
          <w:p>
            <w:pPr>
              <w:pStyle w:val="Table01Row"/>
            </w:pPr>
            <w:r>
              <w:t>2007/012</w:t>
            </w:r>
          </w:p>
        </w:tc>
        <w:tc>
          <w:p>
            <w:pPr>
              <w:pStyle w:val="Table01Row"/>
            </w:pPr>
            <w:r>
              <w:t>29 Jun 2007</w:t>
            </w:r>
          </w:p>
        </w:tc>
        <w:tc>
          <w:p>
            <w:pPr>
              <w:pStyle w:val="Table01Row"/>
            </w:pPr>
            <w:r>
              <w:rPr/>
              <w:t xml:space="preserve">30 Jun 2007 (see s. 2(b))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Revenue Laws Amendment Act 2008</w:t>
            </w:r>
            <w:r>
              <w:t xml:space="preserve"> </w:t>
              <w:t>Pt. 3</w:t>
            </w:r>
          </w:p>
        </w:tc>
        <w:tc>
          <w:p>
            <w:pPr>
              <w:pStyle w:val="Table01Row"/>
            </w:pPr>
            <w:r>
              <w:t>2008/030</w:t>
            </w:r>
          </w:p>
        </w:tc>
        <w:tc>
          <w:p>
            <w:pPr>
              <w:pStyle w:val="Table01Row"/>
            </w:pPr>
            <w:r>
              <w:t>27 Jun 2008</w:t>
            </w:r>
          </w:p>
        </w:tc>
        <w:tc>
          <w:p>
            <w:pPr>
              <w:pStyle w:val="Table01Row"/>
            </w:pPr>
            <w:r>
              <w:rPr/>
              <w:t xml:space="preserve">1 Jul 2008 (see s. 2(1)(c)(i))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Revenue Laws Amendment Act 2009</w:t>
            </w:r>
            <w:r>
              <w:t xml:space="preserve"> </w:t>
              <w:t>Pt. 2</w:t>
            </w:r>
          </w:p>
        </w:tc>
        <w:tc>
          <w:p>
            <w:pPr>
              <w:pStyle w:val="Table01Row"/>
            </w:pPr>
            <w:r>
              <w:t>2009/003</w:t>
            </w:r>
          </w:p>
        </w:tc>
        <w:tc>
          <w:p>
            <w:pPr>
              <w:pStyle w:val="Table01Row"/>
            </w:pPr>
            <w:r>
              <w:t>14 May 2009</w:t>
            </w:r>
          </w:p>
        </w:tc>
        <w:tc>
          <w:p>
            <w:pPr>
              <w:pStyle w:val="Table01Row"/>
            </w:pPr>
            <w:r>
              <w:rPr/>
              <w:t xml:space="preserve">1 Jul 2008 (see s. 2(b))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Revenue Laws Amendment (Taxation) Act 2009</w:t>
            </w:r>
            <w:r>
              <w:t xml:space="preserve"> </w:t>
              <w:t>Pt. 3</w:t>
            </w:r>
          </w:p>
        </w:tc>
        <w:tc>
          <w:p>
            <w:pPr>
              <w:pStyle w:val="Table01Row"/>
            </w:pPr>
            <w:r>
              <w:t>2009/019</w:t>
            </w:r>
          </w:p>
        </w:tc>
        <w:tc>
          <w:p>
            <w:pPr>
              <w:pStyle w:val="Table01Row"/>
            </w:pPr>
            <w:r>
              <w:t>16 Sep 2009</w:t>
            </w:r>
          </w:p>
        </w:tc>
        <w:tc>
          <w:p>
            <w:pPr>
              <w:pStyle w:val="Table01Row"/>
            </w:pPr>
            <w:r>
              <w:rPr/>
              <w:t xml:space="preserve">1 Jul 2009 (see s. 2(b)(ii))</w:t>
            </w:r>
          </w:p>
        </w:tc>
      </w:tr>
      <w:tr>
        <w:trPr>
          <w:cantSplit/>
        </w:trPr>
        <w:tc>
          <w:tcPr>
            <w:gridSpan w:val="4"/>
          </w:tcPr>
          <w:p>
            <w:pPr>
              <w:pStyle w:val="Table01Row"/>
            </w:pPr>
            <w:r>
              <w:rPr>
                <w:b/>
              </w:rPr>
              <w:t>Reprint 2 as at 5 Feb 2010 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Land Tax Amendment Act 2013</w:t>
            </w:r>
          </w:p>
        </w:tc>
        <w:tc>
          <w:p>
            <w:pPr>
              <w:pStyle w:val="Table01Row"/>
            </w:pPr>
            <w:r>
              <w:t>2013/015</w:t>
            </w:r>
          </w:p>
        </w:tc>
        <w:tc>
          <w:p>
            <w:pPr>
              <w:pStyle w:val="Table01Row"/>
            </w:pPr>
            <w:r>
              <w:t>21 Oct 2013</w:t>
            </w:r>
          </w:p>
        </w:tc>
        <w:tc>
          <w:p>
            <w:pPr>
              <w:pStyle w:val="Table01Row"/>
            </w:pPr>
            <w:r>
              <w:rPr/>
              <w:t xml:space="preserve">Act other than s. 1 &amp; 2: 1 Jul 2013 (see s. 2(b));</w:t>
            </w:r>
          </w:p>
          <w:p>
            <w:pPr>
              <w:pStyle w:val="Table01Row"/>
            </w:pPr>
            <w:r>
              <w:rPr/>
              <w:t xml:space="preserve">s. 1 &amp; 2: 21 Oct 2013 (see s. 2(a))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Revenue Laws Amendment Act 2014</w:t>
            </w:r>
            <w:r>
              <w:t xml:space="preserve"> </w:t>
              <w:t>Pt. 3</w:t>
            </w:r>
          </w:p>
        </w:tc>
        <w:tc>
          <w:p>
            <w:pPr>
              <w:pStyle w:val="Table01Row"/>
            </w:pPr>
            <w:r>
              <w:t>2014/015</w:t>
            </w:r>
          </w:p>
        </w:tc>
        <w:tc>
          <w:p>
            <w:pPr>
              <w:pStyle w:val="Table01Row"/>
            </w:pPr>
            <w:r>
              <w:t>2 Jul 2014</w:t>
            </w:r>
          </w:p>
        </w:tc>
        <w:tc>
          <w:p>
            <w:pPr>
              <w:pStyle w:val="Table01Row"/>
            </w:pPr>
            <w:r>
              <w:rPr/>
              <w:t xml:space="preserve">1 Jul 2014 (see s. 2(c)(ii))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Land Tax Amendment Act 2015</w:t>
            </w:r>
          </w:p>
        </w:tc>
        <w:tc>
          <w:p>
            <w:pPr>
              <w:pStyle w:val="Table01Row"/>
            </w:pPr>
            <w:r>
              <w:t>2015/024</w:t>
            </w:r>
          </w:p>
        </w:tc>
        <w:tc>
          <w:p>
            <w:pPr>
              <w:pStyle w:val="Table01Row"/>
            </w:pPr>
            <w:r>
              <w:t>24 Sep 2015</w:t>
            </w:r>
          </w:p>
        </w:tc>
        <w:tc>
          <w:p>
            <w:pPr>
              <w:pStyle w:val="Table01Row"/>
            </w:pPr>
            <w:r>
              <w:rPr/>
              <w:t xml:space="preserve">s. 1 &amp; 2: 24 Sep 2015 (see s. 2(a));</w:t>
            </w:r>
          </w:p>
          <w:p>
            <w:pPr>
              <w:pStyle w:val="Table01Row"/>
            </w:pPr>
            <w:r>
              <w:rPr/>
              <w:t xml:space="preserve">Act other than s. 1 &amp; 2: 1 Jul 2015 (see s. 2(b))</w:t>
            </w:r>
          </w:p>
        </w:tc>
      </w:tr>
    </w:tbl>
    <w:tbl>
      <w:tblPr>
        <w:tblW w:w="0" w:type="auto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10206"/>
      </w:tblGrid>
      <w:tr>
        <w:trPr>
          <w:cantSplit/>
        </w:trPr>
        <w:tc>
          <w:p>
            <w:pPr>
              <w:pStyle w:val="Table01BNote"/>
            </w:pPr>
            <w:r>
              <w:rPr/>
              <w:t xml:space="preserve">Modifying Regulations and Notice — </w:t>
            </w:r>
          </w:p>
          <w:p>
            <w:pPr>
              <w:pStyle w:val="Table01BNote"/>
            </w:pPr>
            <w:r>
              <w:tab/>
            </w:r>
            <w:r>
              <w:rPr/>
              <w:t xml:space="preserve">Under the Commonwealth Places (Mirror Taxes Administration) Act 1999: Commonwealth Places (Mirror Taxes Administration) Regulations 2007 Pt. 3 Div. 1 published in </w:t>
            </w:r>
            <w:r>
              <w:rPr>
                <w:i/>
              </w:rPr>
              <w:t xml:space="preserve">Gazette</w:t>
            </w:r>
            <w:r>
              <w:rPr/>
              <w:t xml:space="preserve"> 5 Feb 2007 p. 267‑303 operative 1 Jul 2003 (see r. 3(1)).</w:t>
            </w:r>
          </w:p>
          <w:p>
            <w:pPr>
              <w:pStyle w:val="Table01BNote"/>
            </w:pPr>
            <w:r>
              <w:tab/>
            </w:r>
            <w:r>
              <w:rPr/>
              <w:t xml:space="preserve">Under the Commonwealth Places (Mirror Taxes) Act 1998 (Cth): Commonwealth Places (Mirror Taxes) (Modification of Applied Laws (WA)) Notice 2007 (Cth) Pt. 3 Div. 1 FRLI registration date 1 Feb 2007 operative 1 Jul 2003 (see cl. 3(1)), as amended by the Commonwealth Places (Mirror Taxes) (Modification of Applied Laws (WA)) Amendment Notice 2012 (Cth) FRLI registration date 17 Dec 2012.</w:t>
            </w:r>
          </w:p>
        </w:tc>
      </w:tr>
    </w:tbl>
    <w:sectPr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851" w:right="851" w:bottom="851" w:left="851" w:header="851" w:footer="85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line="20" w:lineRule="exact"/>
      </w:pPr>
    </w:p>
  </w:endnote>
  <w:endnote w:type="continuationSeparator" w:id="0">
    <w:p>
      <w:r>
        <w:t xml:space="preserve"> </w:t>
      </w:r>
    </w:p>
  </w:endnote>
  <w:endnote w:type="continuationNotice" w:id="1">
    <w:p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</w:pP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  <w:rPr>
        <w:sz w:val="10"/>
      </w:rPr>
    </w:pPr>
    <w:r>
      <w:tab/>
    </w: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</w:rPr>
      <w:t>Error! No text of specified style in document.</w:t>
    </w:r>
    <w:r>
      <w:rPr>
        <w:b/>
      </w:rPr>
      <w:fldChar w:fldCharType="end"/>
    </w:r>
    <w:r>
      <w:tab/>
      <w:t xml:space="preserve">Table 1 — Acts in force</w:t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header2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tab/>
      <w:t xml:space="preserve">Table 1 — Acts in force</w:t>
    </w: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  <w:lang w:val="en-US"/>
      </w:rPr>
      <w:t>Error! No text of specified style in document.</w:t>
    </w:r>
    <w:r>
      <w:rPr>
        <w:b/>
      </w:rPr>
      <w:fldChar w:fldCharType="end"/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tblHeader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2C6A9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8EA9D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676F2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8B4263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26AE1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1864E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832B94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902AA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B2246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222F5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5716D3"/>
    <w:multiLevelType w:val="multilevel"/>
    <w:tmpl w:val="60309F98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11" w15:restartNumberingAfterBreak="0">
    <w:nsid w:val="02411BE1"/>
    <w:multiLevelType w:val="singleLevel"/>
    <w:tmpl w:val="94B8C98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2" w15:restartNumberingAfterBreak="0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F3C3412"/>
    <w:multiLevelType w:val="multilevel"/>
    <w:tmpl w:val="4968A1EE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38B63E2"/>
    <w:multiLevelType w:val="multilevel"/>
    <w:tmpl w:val="3B4E73C2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213A7538"/>
    <w:multiLevelType w:val="singleLevel"/>
    <w:tmpl w:val="47388A70"/>
    <w:lvl w:ilvl="0">
      <w:start w:val="5"/>
      <w:numFmt w:val="decimal"/>
      <w:lvlText w:val="(%1)"/>
      <w:lvlJc w:val="left"/>
      <w:pPr>
        <w:tabs>
          <w:tab w:val="num" w:pos="1620"/>
        </w:tabs>
        <w:ind w:left="1620" w:hanging="525"/>
      </w:pPr>
      <w:rPr>
        <w:rFonts w:hint="default"/>
      </w:rPr>
    </w:lvl>
  </w:abstractNum>
  <w:abstractNum w:abstractNumId="17" w15:restartNumberingAfterBreak="0">
    <w:nsid w:val="22FF52EB"/>
    <w:multiLevelType w:val="multilevel"/>
    <w:tmpl w:val="033A45D2"/>
    <w:name w:val="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27855774"/>
    <w:multiLevelType w:val="singleLevel"/>
    <w:tmpl w:val="97B47F60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9" w15:restartNumberingAfterBreak="0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1" w15:restartNumberingAfterBreak="0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30BF5862"/>
    <w:multiLevelType w:val="multilevel"/>
    <w:tmpl w:val="811EB9CC"/>
    <w:name w:val="headings"/>
    <w:lvl w:ilvl="0">
      <w:start w:val="1"/>
      <w:numFmt w:val="none"/>
      <w:lvlText w:val="%1Chapter  - "/>
      <w:lvlJc w:val="left"/>
      <w:pPr>
        <w:tabs>
          <w:tab w:val="num" w:pos="1080"/>
        </w:tabs>
        <w:ind w:left="360" w:hanging="360"/>
      </w:pPr>
    </w:lvl>
    <w:lvl w:ilvl="1">
      <w:start w:val="1"/>
      <w:numFmt w:val="none"/>
      <w:lvlText w:val="Part - "/>
      <w:lvlJc w:val="left"/>
      <w:pPr>
        <w:tabs>
          <w:tab w:val="num" w:pos="1080"/>
        </w:tabs>
        <w:ind w:left="720" w:hanging="360"/>
      </w:pPr>
    </w:lvl>
    <w:lvl w:ilvl="2">
      <w:start w:val="1"/>
      <w:numFmt w:val="none"/>
      <w:lvlText w:val="Division  - "/>
      <w:lvlJc w:val="left"/>
      <w:pPr>
        <w:tabs>
          <w:tab w:val="num" w:pos="1800"/>
        </w:tabs>
        <w:ind w:left="1080" w:hanging="360"/>
      </w:pPr>
    </w:lvl>
    <w:lvl w:ilvl="3">
      <w:start w:val="1"/>
      <w:numFmt w:val="none"/>
      <w:lvlText w:val="Subdivision - 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310F4753"/>
    <w:multiLevelType w:val="multilevel"/>
    <w:tmpl w:val="4F04CBB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 w15:restartNumberingAfterBreak="0">
    <w:nsid w:val="351C33A5"/>
    <w:multiLevelType w:val="multilevel"/>
    <w:tmpl w:val="6A7E0364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3C2808C0"/>
    <w:multiLevelType w:val="singleLevel"/>
    <w:tmpl w:val="BDD2BB06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6" w15:restartNumberingAfterBreak="0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8" w15:restartNumberingAfterBreak="0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29" w15:restartNumberingAfterBreak="0">
    <w:nsid w:val="65D140E9"/>
    <w:multiLevelType w:val="multilevel"/>
    <w:tmpl w:val="EE3E4260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none"/>
      <w:lvlText w:val="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none"/>
      <w:lvlText w:val=""/>
      <w:lvlJc w:val="right"/>
      <w:pPr>
        <w:tabs>
          <w:tab w:val="num" w:pos="2376"/>
        </w:tabs>
        <w:ind w:left="2376" w:hanging="288"/>
      </w:pPr>
    </w:lvl>
    <w:lvl w:ilvl="3">
      <w:start w:val="1"/>
      <w:numFmt w:val="none"/>
      <w:lvlText w:val=""/>
      <w:lvlJc w:val="right"/>
      <w:pPr>
        <w:tabs>
          <w:tab w:val="num" w:pos="2952"/>
        </w:tabs>
        <w:ind w:left="2952" w:hanging="288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1" w15:restartNumberingAfterBreak="0">
    <w:nsid w:val="6FDE73CC"/>
    <w:multiLevelType w:val="multilevel"/>
    <w:tmpl w:val="E1B8D9A4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2" w15:restartNumberingAfterBreak="0">
    <w:nsid w:val="77821B5A"/>
    <w:multiLevelType w:val="singleLevel"/>
    <w:tmpl w:val="FEEA0620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32"/>
  </w:num>
  <w:num w:numId="11">
    <w:abstractNumId w:val="16"/>
  </w:num>
  <w:num w:numId="12">
    <w:abstractNumId w:val="18"/>
  </w:num>
  <w:num w:numId="13">
    <w:abstractNumId w:val="11"/>
  </w:num>
  <w:num w:numId="14">
    <w:abstractNumId w:val="25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activeWritingStyle w:appName="MSWord" w:lang="en-AU" w:vendorID="8" w:dllVersion="513" w:checkStyle="1"/>
  <w:activeWritingStyle w:appName="MSWord" w:lang="en-US" w:vendorID="8" w:dllVersion="513" w:checkStyle="1"/>
  <w:proofState w:spelling="clean" w:grammar="clean"/>
  <w:defaultTabStop w:val="720"/>
  <w:hyphenationZone w:val="863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5:docId w15:val="{C21DF542-39DD-4A5F-8DB7-8839CA79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semiHidden/>
    <w:pPr>
      <w:tabs>
        <w:tab w:val="left" w:pos="284"/>
        <w:tab w:val="center" w:pos="5103"/>
        <w:tab w:val="right" w:pos="9923"/>
      </w:tabs>
      <w:spacing w:after="80"/>
    </w:pPr>
  </w:style>
  <w:style w:type="paragraph" w:styleId="Footer">
    <w:name w:val="footer"/>
    <w:semiHidden/>
    <w:pPr>
      <w:jc w:val="center"/>
    </w:pPr>
    <w:rPr>
      <w:sz w:val="16"/>
    </w:rPr>
  </w:style>
  <w:style w:type="paragraph" w:customStyle="1" w:styleId="IFooter">
    <w:name w:val="IFooter"/>
    <w:semiHidden/>
    <w:pPr>
      <w:pBdr>
        <w:top w:val="single" w:sz="4" w:space="1" w:color="auto"/>
      </w:pBdr>
      <w:tabs>
        <w:tab w:val="right" w:pos="10206"/>
      </w:tabs>
      <w:spacing w:line="260" w:lineRule="atLeast"/>
    </w:pPr>
    <w:rPr>
      <w:i/>
      <w:snapToGrid w:val="0"/>
      <w:sz w:val="16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IAlphabetDivider">
    <w:name w:val="IAlphabetDivider"/>
    <w:pPr>
      <w:pageBreakBefore/>
      <w:suppressAutoHyphens/>
      <w:jc w:val="center"/>
      <w:outlineLvl w:val="1"/>
    </w:pPr>
    <w:rPr>
      <w:sz w:val="28"/>
    </w:rPr>
  </w:style>
  <w:style w:type="paragraph" w:customStyle="1" w:styleId="ITable">
    <w:name w:val="ITable"/>
    <w:pPr>
      <w:suppressAutoHyphens/>
      <w:jc w:val="center"/>
      <w:outlineLvl w:val="0"/>
    </w:pPr>
    <w:rPr>
      <w:b/>
      <w:sz w:val="32"/>
    </w:rPr>
  </w:style>
  <w:style w:type="paragraph" w:customStyle="1" w:styleId="IActName">
    <w:name w:val="IActName"/>
    <w:basedOn w:val="Normal"/>
    <w:pPr>
      <w:keepNext/>
      <w:suppressAutoHyphens/>
      <w:spacing w:before="240"/>
      <w:ind w:left="284" w:hanging="284"/>
      <w:outlineLvl w:val="2"/>
    </w:pPr>
    <w:rPr>
      <w:b/>
      <w:i/>
      <w:sz w:val="24"/>
    </w:rPr>
  </w:style>
  <w:style w:type="character" w:styleId="Hyperlink">
    <w:name w:val="Hyperlink"/>
    <w:basedOn w:val="DefaultParagraphFont"/>
    <w:semiHidden/>
    <w:rPr>
      <w:color w:val="0000FF"/>
      <w:u w:val="none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customStyle="1" w:styleId="BuildTime">
    <w:name w:val="BuildTime"/>
    <w:pPr>
      <w:jc w:val="center"/>
    </w:pPr>
    <w:rPr>
      <w:sz w:val="24"/>
    </w:rPr>
  </w:style>
  <w:style w:type="paragraph" w:customStyle="1" w:styleId="Highlight">
    <w:name w:val="Highlight"/>
    <w:pPr>
      <w:spacing w:before="120" w:after="60"/>
      <w:ind w:left="284" w:hanging="284"/>
      <w:jc w:val="both"/>
    </w:pPr>
    <w:rPr>
      <w:sz w:val="28"/>
    </w:rPr>
  </w:style>
  <w:style w:type="paragraph" w:customStyle="1" w:styleId="Notes">
    <w:name w:val="Notes"/>
  </w:style>
  <w:style w:type="paragraph" w:customStyle="1" w:styleId="Table01Row">
    <w:name w:val="Table01Row"/>
    <w:qFormat/>
    <w:pPr>
      <w:spacing w:before="40" w:after="40"/>
    </w:pPr>
    <w:rPr>
      <w:sz w:val="18"/>
    </w:rPr>
  </w:style>
  <w:style w:type="paragraph" w:customStyle="1" w:styleId="Table01Hdr">
    <w:name w:val="Table01Hdr"/>
    <w:qFormat/>
    <w:pPr>
      <w:jc w:val="center"/>
    </w:pPr>
    <w:rPr>
      <w:b/>
    </w:rPr>
  </w:style>
  <w:style w:type="paragraph" w:customStyle="1" w:styleId="Table01Note">
    <w:name w:val="Table01Note"/>
    <w:qFormat/>
    <w:pPr>
      <w:keepNext/>
      <w:spacing w:before="80" w:after="40"/>
      <w:ind w:left="113"/>
    </w:pPr>
    <w:rPr>
      <w:sz w:val="18"/>
    </w:rPr>
  </w:style>
  <w:style w:type="paragraph" w:customStyle="1" w:styleId="Table01BNote">
    <w:name w:val="Table01BNote"/>
    <w:qFormat/>
    <w:pPr>
      <w:spacing w:before="40" w:after="40"/>
      <w:ind w:left="170" w:hanging="170"/>
    </w:pPr>
    <w:rPr>
      <w:b/>
      <w:sz w:val="18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Table 1 — Acts in force</vt:lpstr>
    </vt:vector>
  </TitlesOfParts>
  <LinksUpToDate>false</LinksUpToDate>
  <CharactersWithSpaces>1722</CharactersWithSpaces>
  <SharedDoc>false</SharedDoc>
  <HLinks>
    <vt:vector size="6" baseType="variant">
      <vt:variant>
        <vt:i4>65542</vt:i4>
      </vt:variant>
      <vt:variant>
        <vt:i4>-1</vt:i4>
      </vt:variant>
      <vt:variant>
        <vt:i4>1027</vt:i4>
      </vt:variant>
      <vt:variant>
        <vt:i4>1</vt:i4>
      </vt:variant>
      <vt:variant>
        <vt:lpwstr>CREST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 1 — Acts in force</dc:title>
  <cp:revision>24</cp:revision>
  <cp:category/>
  <dc:creator>Tables Generator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pid="2" name="Citation" fmtid="{D5CDD505-2E9C-101B-9397-08002B2CF9AE}">
    <vt:lpwstr>Land Tax Act 2002</vt:lpwstr>
  </property>
  <property pid="3" name="IDAct" fmtid="{D5CDD505-2E9C-101B-9397-08002B2CF9AE}">
    <vt:lpwstr>6340</vt:lpwstr>
  </property>
  <property pid="4" name="ChangedDate" fmtid="{D5CDD505-2E9C-101B-9397-08002B2CF9AE}">
    <vt:lpwstr>20250701183934</vt:lpwstr>
  </property>
</Properties>
</file>