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Transport Authority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Pt. 1 &amp; Pt. 7 Div. 1: 26 May 2003 (see s. 2(2)); </w:t>
            </w:r>
          </w:p>
          <w:p>
            <w:pPr>
              <w:pStyle w:val="Table01Row"/>
            </w:pPr>
            <w:r>
              <w:rPr/>
              <w:t xml:space="preserve">Act other than Pt. 1 &amp; Pt. 7 Div. 1: 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12 &amp; Sch. 1 cl. 138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Amendment Act 2008</w:t>
            </w:r>
          </w:p>
        </w:tc>
        <w:tc>
          <w:p>
            <w:pPr>
              <w:pStyle w:val="Table01Row"/>
            </w:pPr>
            <w:r>
              <w:t>2008/042</w:t>
            </w:r>
          </w:p>
        </w:tc>
        <w:tc>
          <w:p>
            <w:pPr>
              <w:pStyle w:val="Table01Row"/>
            </w:pPr>
            <w:r>
              <w:t>3 Jul 2008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2008 (see s. 2(a));</w:t>
            </w:r>
          </w:p>
          <w:p>
            <w:pPr>
              <w:pStyle w:val="Table01Row"/>
            </w:pPr>
            <w:r>
              <w:rPr/>
              <w:t xml:space="preserve">Act other than s. 1 &amp; 2: 28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2009 p. 917)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Apr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</w:t>
              <w:t>Pt. 11 Div. 3</w:t>
            </w:r>
          </w:p>
        </w:tc>
        <w:tc>
          <w:p>
            <w:pPr>
              <w:pStyle w:val="Table01Row"/>
            </w:pPr>
            <w:r>
              <w:t>2010/018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2011 p. 241)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2015/021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2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2015 p. 4149)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Graffiti Vandalism Act 2016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2016/016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12 Oct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2016 p. 4531)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2024/007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1 Oct 2024 (see s. 2(b) and SL 2024/193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Transport Authority Act 2003</vt:lpwstr>
  </property>
  <property pid="3" name="IDAct" fmtid="{D5CDD505-2E9C-101B-9397-08002B2CF9AE}">
    <vt:lpwstr>6374</vt:lpwstr>
  </property>
  <property pid="4" name="ChangedDate" fmtid="{D5CDD505-2E9C-101B-9397-08002B2CF9AE}">
    <vt:lpwstr>20260804143231</vt:lpwstr>
  </property>
</Properties>
</file>