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Corruption, Crime and Misconduct Act 2003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Corruption and Crime Commission Act 2003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(except Part 4A, which is administered by the Premier principally assisted by the Public Sector Commission)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Corruption and Crime Commission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 (Part 4A only; remainder of Act administered by the Attorney General principally assisted by the Corruption and Crime Commission)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Sector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2003;</w:t>
            </w:r>
          </w:p>
          <w:p>
            <w:pPr>
              <w:pStyle w:val="Table01Row"/>
            </w:pPr>
            <w:r>
              <w:rPr/>
              <w:t xml:space="preserve">Act other than s. 1 &amp; 2: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Jan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79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Jul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35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11 &amp; 23(1)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11: 1 Apr 2008 (see s. 2(1));</w:t>
            </w:r>
          </w:p>
          <w:p>
            <w:pPr>
              <w:pStyle w:val="Table01Row"/>
            </w:pPr>
            <w:r>
              <w:rPr/>
              <w:t xml:space="preserve">s. 23(1):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11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Oct 2008 (not including 2008/021 &amp; 2008/022)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Jul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12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Telecommunications (Interception) Western Australia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2011/002</w:t>
            </w:r>
          </w:p>
        </w:tc>
        <w:tc>
          <w:p>
            <w:pPr>
              <w:pStyle w:val="Table01Row"/>
            </w:pPr>
            <w:r>
              <w:t>1 Mar 2011</w:t>
            </w:r>
          </w:p>
        </w:tc>
        <w:tc>
          <w:p>
            <w:pPr>
              <w:pStyle w:val="Table01Row"/>
            </w:pPr>
            <w:r>
              <w:rPr/>
              <w:t xml:space="preserve">2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2011 p. 2713)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Heads of Government Meeting (Special Powers) Act 2011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2011/023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12 Jul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18 Oct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s. 32: 30 Dec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2014 p. 5497);</w:t>
            </w:r>
          </w:p>
          <w:p>
            <w:pPr>
              <w:pStyle w:val="Table01Row"/>
            </w:pPr>
            <w:r>
              <w:rPr/>
              <w:t xml:space="preserve">Pt. 2 other than s. 32: 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31 Jul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11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105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and Criminal Property Confiscation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2018/010</w:t>
            </w:r>
          </w:p>
        </w:tc>
        <w:tc>
          <w:p>
            <w:pPr>
              <w:pStyle w:val="Table01Row"/>
            </w:pPr>
            <w:r>
              <w:t>13 Jul 2018</w:t>
            </w:r>
          </w:p>
        </w:tc>
        <w:tc>
          <w:p>
            <w:pPr>
              <w:pStyle w:val="Table01Row"/>
            </w:pPr>
            <w:r>
              <w:rPr/>
              <w:t xml:space="preserve">1 Sep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Aug 2018 p. 2894)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24 May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2021</w:t>
            </w:r>
          </w:p>
        </w:tc>
        <w:tc>
          <w:p>
            <w:pPr>
              <w:pStyle w:val="Table01Row"/>
            </w:pPr>
            <w:r>
              <w:t>2021/007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2021 (see s. 2(a));</w:t>
            </w:r>
          </w:p>
          <w:p>
            <w:pPr>
              <w:pStyle w:val="Table01Row"/>
            </w:pPr>
            <w:r>
              <w:rPr/>
              <w:t xml:space="preserve">Act other than s. 1 &amp; 2: 26 Jun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2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2024/047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Jan 2026 (see s. 2(1)(i) and SL 2025/203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9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Corruption, Crime and Misconduct Act 2003</vt:lpwstr>
  </property>
  <property pid="3" name="IDAct" fmtid="{D5CDD505-2E9C-101B-9397-08002B2CF9AE}">
    <vt:lpwstr>6503</vt:lpwstr>
  </property>
  <property pid="4" name="ChangedDate" fmtid="{D5CDD505-2E9C-101B-9397-08002B2CF9AE}">
    <vt:lpwstr>20250703132720</vt:lpwstr>
  </property>
</Properties>
</file>