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Powers Act 1953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Powers Act 1953</w:t>
            </w:r>
          </w:p>
        </w:tc>
        <w:tc>
          <w:p>
            <w:pPr>
              <w:pStyle w:val="Table01Row"/>
            </w:pPr>
            <w:r>
              <w:t>1953/043 (2 Eliz. II No. 43)</w:t>
            </w:r>
          </w:p>
        </w:tc>
        <w:tc>
          <w:p>
            <w:pPr>
              <w:pStyle w:val="Table01Row"/>
            </w:pPr>
            <w:r>
              <w:t>29 Dec 1953</w:t>
            </w:r>
          </w:p>
        </w:tc>
        <w:tc>
          <w:p>
            <w:pPr>
              <w:pStyle w:val="Table01Row"/>
            </w:pPr>
            <w:r>
              <w:rPr/>
              <w:t xml:space="preserve">29 Dec 1953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Powers Act 1953</vt:lpwstr>
  </property>
  <property pid="3" name="IDAct" fmtid="{D5CDD505-2E9C-101B-9397-08002B2CF9AE}">
    <vt:lpwstr>720</vt:lpwstr>
  </property>
  <property pid="4" name="ChangedDate" fmtid="{D5CDD505-2E9C-101B-9397-08002B2CF9AE}">
    <vt:lpwstr>20250404094514</vt:lpwstr>
  </property>
</Properties>
</file>