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 Style and Titles Act 1947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Style and Titles Act 1947</w:t>
            </w:r>
          </w:p>
        </w:tc>
        <w:tc>
          <w:p>
            <w:pPr>
              <w:pStyle w:val="Table01Row"/>
            </w:pPr>
            <w:r>
              <w:t>1947/038 (11 &amp; 12 Geo. VI No. 38)</w:t>
            </w:r>
          </w:p>
        </w:tc>
        <w:tc>
          <w:p>
            <w:pPr>
              <w:pStyle w:val="Table01Row"/>
            </w:pPr>
            <w:r>
              <w:t>11 Dec 1947</w:t>
            </w:r>
          </w:p>
        </w:tc>
        <w:tc>
          <w:p>
            <w:pPr>
              <w:pStyle w:val="Table01Row"/>
            </w:pPr>
            <w:r>
              <w:rPr/>
              <w:t xml:space="preserve">19 Mar 1948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19 Mar 1948 p. 627‑8)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 Style and Titles Act Amendment Act 1953</w:t>
            </w:r>
          </w:p>
        </w:tc>
        <w:tc>
          <w:p>
            <w:pPr>
              <w:pStyle w:val="Table01Row"/>
            </w:pPr>
            <w:r>
              <w:t>1953/011 (2 Eliz. II No. 11)</w:t>
            </w:r>
          </w:p>
        </w:tc>
        <w:tc>
          <w:p>
            <w:pPr>
              <w:pStyle w:val="Table01Row"/>
            </w:pPr>
            <w:r>
              <w:t>10 Nov 1953</w:t>
            </w:r>
          </w:p>
        </w:tc>
        <w:tc>
          <w:p>
            <w:pPr>
              <w:pStyle w:val="Table01Row"/>
            </w:pPr>
            <w:r>
              <w:rPr/>
              <w:t xml:space="preserve">11 Dec 1953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Dec 1953 p. 2423)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24 Sep 2004 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Proclamation altering style see </w:t>
            </w:r>
            <w:r>
              <w:rPr>
                <w:i/>
              </w:rPr>
              <w:t xml:space="preserve">Gazette</w:t>
            </w:r>
            <w:r>
              <w:rPr/>
              <w:t xml:space="preserve"> 7 Dec 1973 p. 4479 (Also see “Armorial Bearings Protection”, “Unauthorised Documents”)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 Style and Titles Act 1947</vt:lpwstr>
  </property>
  <property pid="3" name="IDAct" fmtid="{D5CDD505-2E9C-101B-9397-08002B2CF9AE}">
    <vt:lpwstr>721</vt:lpwstr>
  </property>
  <property pid="4" name="ChangedDate" fmtid="{D5CDD505-2E9C-101B-9397-08002B2CF9AE}">
    <vt:lpwstr>20250404094514</vt:lpwstr>
  </property>
</Properties>
</file>