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S</w:t>
      </w:r>
    </w:p>
    <w:p>
      <w:pPr>
        <w:pStyle w:val="IActName"/>
      </w:pPr>
      <w:r>
        <w:t>Statute of Frauds (1677) (Imp)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 of Frauds (1677) (Imp)</w:t>
            </w:r>
          </w:p>
        </w:tc>
        <w:tc>
          <w:p>
            <w:pPr>
              <w:pStyle w:val="Table01Row"/>
            </w:pPr>
            <w:r>
              <w:t>1677 (29 Car II c. 3)</w:t>
            </w:r>
          </w:p>
        </w:tc>
        <w:tc>
          <w:p>
            <w:pPr>
              <w:pStyle w:val="Table01Row"/>
            </w:pPr>
            <w:r>
              <w:t>1 Jun 1829</w:t>
            </w:r>
          </w:p>
        </w:tc>
        <w:tc>
          <w:p>
            <w:pPr>
              <w:pStyle w:val="Table01Row"/>
            </w:pPr>
            <w:r>
              <w:rPr/>
              <w:t xml:space="preserve">1 Jun 1829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The Sale of Goods Act 1895</w:t>
            </w:r>
            <w:r>
              <w:t xml:space="preserve"> </w:t>
              <w:t>s. 58</w:t>
            </w:r>
          </w:p>
        </w:tc>
        <w:tc>
          <w:p>
            <w:pPr>
              <w:pStyle w:val="Table01Row"/>
            </w:pPr>
            <w:r>
              <w:t>1895 (59 Vict. No. 41)</w:t>
            </w:r>
          </w:p>
        </w:tc>
        <w:tc>
          <w:p>
            <w:pPr>
              <w:pStyle w:val="Table01Row"/>
            </w:pPr>
            <w:r>
              <w:t>12 Oct 1895</w:t>
            </w:r>
          </w:p>
        </w:tc>
        <w:tc>
          <w:p>
            <w:pPr>
              <w:pStyle w:val="Table01Row"/>
            </w:pPr>
            <w:r>
              <w:rPr/>
              <w:t xml:space="preserve">1 Jan 1896 (see s. 61)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Law Reform (Statute of Frauds) Act 1962</w:t>
            </w:r>
            <w:r>
              <w:t xml:space="preserve"> </w:t>
              <w:t>s. 2</w:t>
            </w:r>
          </w:p>
        </w:tc>
        <w:tc>
          <w:p>
            <w:pPr>
              <w:pStyle w:val="Table01Row"/>
            </w:pPr>
            <w:r>
              <w:t>1962/016 (11 Eliz. II No. 16)</w:t>
            </w:r>
          </w:p>
        </w:tc>
        <w:tc>
          <w:p>
            <w:pPr>
              <w:pStyle w:val="Table01Row"/>
            </w:pPr>
            <w:r>
              <w:t>1 Oct 1962</w:t>
            </w:r>
          </w:p>
        </w:tc>
        <w:tc>
          <w:p>
            <w:pPr>
              <w:pStyle w:val="Table01Row"/>
            </w:pPr>
            <w:r>
              <w:rPr/>
              <w:t xml:space="preserve">1 Oct 1962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Statute of Frauds (1677) (Imp)</vt:lpwstr>
  </property>
  <property pid="3" name="IDAct" fmtid="{D5CDD505-2E9C-101B-9397-08002B2CF9AE}">
    <vt:lpwstr>789</vt:lpwstr>
  </property>
  <property pid="4" name="ChangedDate" fmtid="{D5CDD505-2E9C-101B-9397-08002B2CF9AE}">
    <vt:lpwstr>20250402124410</vt:lpwstr>
  </property>
</Properties>
</file>